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ind w:left="0" w:leftChars="0" w:firstLine="0" w:firstLineChars="0"/>
        <w:jc w:val="center"/>
        <w:rPr>
          <w:rFonts w:ascii="宋体" w:hAnsi="宋体"/>
          <w:b/>
          <w:bCs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  <w:t>采购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公告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 w:val="24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青岛高新城维实业有限公司现对高新区2022年部分节点防汛隐患整治提升工程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管材</w:t>
      </w:r>
      <w:r>
        <w:rPr>
          <w:rFonts w:hint="eastAsia" w:ascii="仿宋_GB2312" w:hAnsi="仿宋_GB2312" w:cs="仿宋_GB2312"/>
          <w:szCs w:val="30"/>
          <w:highlight w:val="none"/>
        </w:rPr>
        <w:t>进行采购，具体要求如下：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一、项目概况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1.项目名称：</w:t>
      </w:r>
      <w:bookmarkStart w:id="4" w:name="_GoBack"/>
      <w:r>
        <w:rPr>
          <w:rFonts w:hint="eastAsia" w:ascii="仿宋_GB2312" w:hAnsi="仿宋_GB2312" w:cs="仿宋_GB2312"/>
          <w:szCs w:val="30"/>
          <w:highlight w:val="none"/>
        </w:rPr>
        <w:t>高新区2022年部分节点防汛隐患整治提升工程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管材</w:t>
      </w:r>
      <w:r>
        <w:rPr>
          <w:rFonts w:hint="eastAsia" w:ascii="仿宋_GB2312" w:hAnsi="仿宋_GB2312" w:cs="仿宋_GB2312"/>
          <w:color w:val="000000"/>
          <w:szCs w:val="30"/>
          <w:highlight w:val="none"/>
        </w:rPr>
        <w:t>采购</w:t>
      </w:r>
    </w:p>
    <w:bookmarkEnd w:id="4"/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2.使用地点：青岛市高新区</w:t>
      </w:r>
    </w:p>
    <w:p>
      <w:pPr>
        <w:spacing w:line="520" w:lineRule="exact"/>
        <w:ind w:firstLine="600" w:firstLineChars="200"/>
        <w:rPr>
          <w:rFonts w:hint="eastAsia" w:ascii="仿宋_GB2312" w:hAnsi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3.采购内容：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本次招标以单价采购钢筋混凝土Ⅱ级管（含胶圈），规格为DN300、DN600、DN1000、DN1200、DN1350、DN1500。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ascii="仿宋_GB2312" w:hAnsi="仿宋_GB2312" w:cs="仿宋_GB2312"/>
          <w:szCs w:val="30"/>
          <w:highlight w:val="none"/>
        </w:rPr>
        <w:t>4</w:t>
      </w:r>
      <w:r>
        <w:rPr>
          <w:rFonts w:hint="eastAsia" w:ascii="仿宋_GB2312" w:hAnsi="仿宋_GB2312" w:cs="仿宋_GB2312"/>
          <w:szCs w:val="30"/>
          <w:highlight w:val="none"/>
        </w:rPr>
        <w:t>.质量标准：达到国家标准规范及公司验收合格标准</w:t>
      </w:r>
    </w:p>
    <w:p>
      <w:pPr>
        <w:spacing w:line="520" w:lineRule="exact"/>
        <w:ind w:firstLine="600" w:firstLineChars="200"/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</w:pPr>
      <w:r>
        <w:rPr>
          <w:rFonts w:ascii="仿宋_GB2312" w:hAnsi="仿宋_GB2312" w:cs="仿宋_GB2312"/>
          <w:szCs w:val="30"/>
          <w:highlight w:val="none"/>
        </w:rPr>
        <w:t>5</w:t>
      </w:r>
      <w:r>
        <w:rPr>
          <w:rFonts w:hint="eastAsia" w:ascii="仿宋_GB2312" w:hAnsi="仿宋_GB2312" w:cs="仿宋_GB2312"/>
          <w:szCs w:val="30"/>
          <w:highlight w:val="none"/>
        </w:rPr>
        <w:t>.交货日期：合同</w:t>
      </w: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订单后，</w:t>
      </w:r>
      <w:r>
        <w:rPr>
          <w:rFonts w:ascii="仿宋_GB2312" w:hAnsi="仿宋_GB2312" w:cs="仿宋_GB2312"/>
          <w:b/>
          <w:color w:val="000000"/>
          <w:kern w:val="0"/>
          <w:szCs w:val="30"/>
          <w:highlight w:val="none"/>
        </w:rPr>
        <w:t>3</w:t>
      </w:r>
      <w:r>
        <w:rPr>
          <w:rFonts w:hint="eastAsia" w:ascii="仿宋_GB2312" w:hAnsi="仿宋_GB2312" w:cs="仿宋_GB2312"/>
          <w:b/>
          <w:color w:val="000000"/>
          <w:kern w:val="0"/>
          <w:szCs w:val="30"/>
          <w:highlight w:val="none"/>
        </w:rPr>
        <w:t>天</w:t>
      </w: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内到货。</w:t>
      </w:r>
    </w:p>
    <w:p>
      <w:pPr>
        <w:spacing w:line="520" w:lineRule="exact"/>
        <w:ind w:firstLine="600" w:firstLineChars="200"/>
        <w:rPr>
          <w:rFonts w:hint="default" w:ascii="仿宋_GB2312" w:hAnsi="仿宋_GB2312" w:eastAsia="仿宋_GB2312" w:cs="仿宋_GB2312"/>
          <w:color w:val="000000"/>
          <w:kern w:val="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  <w:lang w:val="en-US" w:eastAsia="zh-CN"/>
        </w:rPr>
        <w:t>6.使用项目范围：包括高新区中片区，北片区，其中北片区积水点雨水系统下游整治包括利源路围堰拆除、春阳路排水管道下游完善、锦业路排水管道下游完善、锦霞路排水管道下游完善；中片区雨水系统下游完善包括高新嘉园北侧下游雨水管道翻建、华中路（火炬路-葫芦巷水系）雨水管道下游完善，具体以施工图纸为准。</w:t>
      </w:r>
    </w:p>
    <w:p>
      <w:pPr>
        <w:spacing w:line="520" w:lineRule="exact"/>
        <w:ind w:firstLine="600" w:firstLineChars="200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二、招标控制价</w:t>
      </w:r>
    </w:p>
    <w:tbl>
      <w:tblPr>
        <w:tblStyle w:val="19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4685"/>
        <w:gridCol w:w="727"/>
        <w:gridCol w:w="894"/>
        <w:gridCol w:w="1536"/>
        <w:gridCol w:w="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含税控制单价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税率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DN300钢筋混凝土Ⅱ级管（含胶圈）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DN600钢筋混凝土Ⅱ级管（含胶圈）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145.25 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DN1000钢筋混凝土</w:t>
            </w:r>
            <w:r>
              <w:rPr>
                <w:rStyle w:val="31"/>
                <w:highlight w:val="none"/>
                <w:lang w:val="en-US" w:eastAsia="zh-CN" w:bidi="ar"/>
              </w:rPr>
              <w:t>Ⅱ级管（含胶圈）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366.75 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DN1200钢筋混凝土Ⅱ级管（含胶圈）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471.50 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DN1350钢筋混凝土Ⅱ级管（含胶圈）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719.50 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DN1500钢筋混凝土Ⅱ级管（含胶圈）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865.67 </w:t>
            </w:r>
          </w:p>
        </w:tc>
        <w:tc>
          <w:tcPr>
            <w:tcW w:w="65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spacing w:line="520" w:lineRule="exact"/>
        <w:ind w:firstLine="600" w:firstLineChars="200"/>
        <w:rPr>
          <w:rFonts w:ascii="宋体" w:hAnsi="宋体"/>
          <w:b/>
          <w:bCs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三、投标资格要求：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1.需具有独立法人资格，各投标人不得有企业关联或股权关系；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2.采购公告发布之日起三年内无行贿犯罪等重大违法记录；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3.通过“信用中国”网站（www.creditchina.gov.cn）、中国政府采购网（www.ccgp.gov.cn），未被列入失信被执行人、重大税收违法案件当事人、政府采购严重违法失信行为记录名单。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0"/>
          <w:highlight w:val="none"/>
        </w:rPr>
        <w:t>4.投标人具有增值税一般纳税人资格。</w:t>
      </w:r>
    </w:p>
    <w:p>
      <w:pPr>
        <w:spacing w:line="520" w:lineRule="exact"/>
        <w:ind w:firstLine="600" w:firstLineChars="200"/>
        <w:rPr>
          <w:rFonts w:ascii="宋体" w:hAnsi="宋体" w:eastAsia="黑体" w:cs="宋体"/>
          <w:sz w:val="24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四、资格审查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</w:t>
      </w:r>
      <w:r>
        <w:rPr>
          <w:rFonts w:hint="eastAsia" w:ascii="仿宋_GB2312" w:hAnsi="仿宋_GB2312" w:cs="仿宋_GB2312"/>
          <w:szCs w:val="30"/>
          <w:highlight w:val="none"/>
        </w:rPr>
        <w:t>截止时间：2023年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eastAsia="zh-CN"/>
        </w:rPr>
        <w:t>29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eastAsia="zh-CN"/>
        </w:rPr>
        <w:t>17</w:t>
      </w:r>
      <w:r>
        <w:rPr>
          <w:rFonts w:hint="eastAsia" w:ascii="仿宋_GB2312" w:hAnsi="仿宋_GB2312" w:cs="仿宋_GB2312"/>
          <w:szCs w:val="30"/>
          <w:highlight w:val="none"/>
        </w:rPr>
        <w:t>时00分。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预审方式：投标人将资格审查所需材料附在一个文档里，在截止时间前发送至邮箱：qdgxsy@163.com。邮件标题为投标人名称+项目名称，正文备注联系人、联系方式、招标文件接收邮箱地址。由高实集团招投标委员会办公室受理后，通过邮箱向投标人发放招标文件。</w:t>
      </w:r>
    </w:p>
    <w:p>
      <w:pPr>
        <w:spacing w:line="520" w:lineRule="exact"/>
        <w:ind w:firstLine="60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3.资格审查材料：营业执照复印件；法定代表人身份证明；法定代表人授权委托书；中国裁判文书网（http://wenshu.court.gov.cn)分别查询供应商、法定代表人无行贿犯罪记录查询网页截图；“信用中国”网站、中国政府采购网查询网页截图等资料，以上材料均需加盖投标人公章。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五、投标文件递交时间及地点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1.时间：2023年</w:t>
      </w:r>
      <w:r>
        <w:rPr>
          <w:rFonts w:hint="eastAsia" w:ascii="仿宋_GB2312" w:hAnsi="仿宋_GB2312" w:cs="仿宋_GB2312"/>
          <w:szCs w:val="30"/>
          <w:highlight w:val="none"/>
          <w:lang w:eastAsia="zh-CN"/>
        </w:rPr>
        <w:t>5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eastAsia="zh-CN"/>
        </w:rPr>
        <w:t>30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eastAsia="zh-CN"/>
        </w:rPr>
        <w:t>8</w:t>
      </w:r>
      <w:r>
        <w:rPr>
          <w:rFonts w:hint="eastAsia" w:ascii="仿宋_GB2312" w:hAnsi="仿宋_GB2312" w:cs="仿宋_GB2312"/>
          <w:szCs w:val="30"/>
          <w:highlight w:val="none"/>
        </w:rPr>
        <w:t>时3</w:t>
      </w:r>
      <w:r>
        <w:rPr>
          <w:rFonts w:ascii="仿宋_GB2312" w:hAnsi="仿宋_GB2312" w:cs="仿宋_GB2312"/>
          <w:szCs w:val="30"/>
          <w:highlight w:val="none"/>
        </w:rPr>
        <w:t>0</w:t>
      </w:r>
      <w:r>
        <w:rPr>
          <w:rFonts w:hint="eastAsia" w:ascii="仿宋_GB2312" w:hAnsi="仿宋_GB2312" w:cs="仿宋_GB2312"/>
          <w:szCs w:val="30"/>
          <w:highlight w:val="none"/>
        </w:rPr>
        <w:t>分至</w:t>
      </w:r>
      <w:r>
        <w:rPr>
          <w:rFonts w:hint="eastAsia" w:ascii="仿宋_GB2312" w:hAnsi="仿宋_GB2312" w:cs="仿宋_GB2312"/>
          <w:szCs w:val="30"/>
          <w:highlight w:val="none"/>
          <w:lang w:eastAsia="zh-CN"/>
        </w:rPr>
        <w:t>9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ascii="仿宋_GB2312" w:hAnsi="仿宋_GB2312" w:cs="仿宋_GB2312"/>
          <w:szCs w:val="30"/>
          <w:highlight w:val="none"/>
        </w:rPr>
        <w:t>0</w:t>
      </w:r>
      <w:r>
        <w:rPr>
          <w:rFonts w:hint="eastAsia" w:ascii="仿宋_GB2312" w:hAnsi="仿宋_GB2312" w:cs="仿宋_GB2312"/>
          <w:szCs w:val="30"/>
          <w:highlight w:val="none"/>
        </w:rPr>
        <w:t>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ascii="宋体" w:hAnsi="宋体" w:cs="宋体"/>
          <w:spacing w:val="-6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2.地点：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highlight w:val="none"/>
          <w:u w:val="none"/>
          <w:lang w:val="en-US" w:eastAsia="zh-CN" w:bidi="ar"/>
        </w:rPr>
        <w:t>青岛高新区河东路以北、岙东路以东高新电力4楼会议室</w:t>
      </w:r>
      <w:r>
        <w:rPr>
          <w:rFonts w:hint="eastAsia" w:ascii="仿宋_GB2312" w:hAnsi="仿宋_GB2312" w:cs="仿宋_GB2312"/>
          <w:szCs w:val="30"/>
          <w:highlight w:val="none"/>
        </w:rPr>
        <w:t>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六、开标时间及地点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1.时间：2023年</w:t>
      </w:r>
      <w:r>
        <w:rPr>
          <w:rFonts w:hint="eastAsia" w:ascii="仿宋_GB2312" w:hAnsi="仿宋_GB2312" w:cs="仿宋_GB2312"/>
          <w:szCs w:val="30"/>
          <w:highlight w:val="none"/>
          <w:lang w:eastAsia="zh-CN"/>
        </w:rPr>
        <w:t>5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eastAsia="zh-CN"/>
        </w:rPr>
        <w:t>30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eastAsia="zh-CN"/>
        </w:rPr>
        <w:t>9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ascii="仿宋_GB2312" w:hAnsi="仿宋_GB2312" w:cs="仿宋_GB2312"/>
          <w:szCs w:val="30"/>
          <w:highlight w:val="none"/>
        </w:rPr>
        <w:t>0</w:t>
      </w:r>
      <w:r>
        <w:rPr>
          <w:rFonts w:hint="eastAsia" w:ascii="仿宋_GB2312" w:hAnsi="仿宋_GB2312" w:cs="仿宋_GB2312"/>
          <w:szCs w:val="30"/>
          <w:highlight w:val="none"/>
        </w:rPr>
        <w:t>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ascii="宋体" w:hAnsi="宋体" w:cs="宋体"/>
          <w:spacing w:val="-6"/>
          <w:sz w:val="24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2.地点：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highlight w:val="none"/>
          <w:u w:val="none"/>
          <w:lang w:val="en-US" w:eastAsia="zh-CN" w:bidi="ar"/>
        </w:rPr>
        <w:t>青岛高新区河东路以北、岙东路以东高新电力4楼会议室</w:t>
      </w:r>
      <w:r>
        <w:rPr>
          <w:rFonts w:hint="eastAsia" w:ascii="仿宋_GB2312" w:hAnsi="仿宋_GB2312" w:cs="仿宋_GB2312"/>
          <w:szCs w:val="30"/>
          <w:highlight w:val="none"/>
        </w:rPr>
        <w:t>。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七、联系方式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1.采购人：青岛高新城维实业有限公司</w:t>
      </w:r>
    </w:p>
    <w:p>
      <w:pPr>
        <w:spacing w:line="520" w:lineRule="exact"/>
        <w:ind w:firstLine="900" w:firstLineChars="3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联系人：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孙</w:t>
      </w:r>
      <w:r>
        <w:rPr>
          <w:rFonts w:hint="eastAsia" w:ascii="仿宋_GB2312" w:hAnsi="仿宋_GB2312" w:cs="仿宋_GB2312"/>
          <w:szCs w:val="30"/>
          <w:highlight w:val="none"/>
        </w:rPr>
        <w:t>工</w:t>
      </w:r>
    </w:p>
    <w:p>
      <w:pPr>
        <w:spacing w:line="520" w:lineRule="exact"/>
        <w:ind w:firstLine="900" w:firstLineChars="300"/>
        <w:rPr>
          <w:rFonts w:hint="default" w:ascii="仿宋_GB2312" w:hAnsi="仿宋_GB2312" w:eastAsia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电  话：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15863079688</w:t>
      </w:r>
    </w:p>
    <w:p>
      <w:pPr>
        <w:spacing w:line="520" w:lineRule="exact"/>
        <w:ind w:firstLine="900" w:firstLineChars="3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地  址：青岛高新城维实业有限公司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工程分公司</w:t>
      </w:r>
      <w:r>
        <w:rPr>
          <w:rFonts w:hint="eastAsia" w:ascii="仿宋_GB2312" w:hAnsi="仿宋_GB2312" w:cs="仿宋_GB2312"/>
          <w:szCs w:val="30"/>
          <w:highlight w:val="none"/>
        </w:rPr>
        <w:t>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高新区海月湖北岸</w:t>
      </w:r>
      <w:r>
        <w:rPr>
          <w:rFonts w:hint="eastAsia" w:ascii="仿宋_GB2312" w:hAnsi="仿宋_GB2312" w:cs="仿宋_GB2312"/>
          <w:szCs w:val="30"/>
          <w:highlight w:val="none"/>
        </w:rPr>
        <w:t>）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2.资格预审</w:t>
      </w:r>
    </w:p>
    <w:p>
      <w:pPr>
        <w:spacing w:line="520" w:lineRule="exact"/>
        <w:ind w:firstLine="900" w:firstLineChars="3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联系人：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于</w:t>
      </w:r>
      <w:r>
        <w:rPr>
          <w:rFonts w:hint="eastAsia" w:ascii="仿宋_GB2312" w:hAnsi="仿宋_GB2312" w:cs="仿宋_GB2312"/>
          <w:szCs w:val="30"/>
          <w:highlight w:val="none"/>
        </w:rPr>
        <w:t>工</w:t>
      </w:r>
    </w:p>
    <w:p>
      <w:pPr>
        <w:spacing w:line="520" w:lineRule="exact"/>
        <w:ind w:firstLine="900" w:firstLineChars="300"/>
        <w:rPr>
          <w:rFonts w:hint="default" w:ascii="仿宋_GB2312" w:hAnsi="仿宋_GB2312" w:eastAsia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电  话：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18363971439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宋体" w:hAnsi="宋体" w:cs="宋体"/>
          <w:szCs w:val="30"/>
          <w:highlight w:val="none"/>
        </w:rPr>
        <w:t xml:space="preserve">                                </w:t>
      </w:r>
      <w:r>
        <w:rPr>
          <w:rFonts w:hint="eastAsia" w:ascii="仿宋_GB2312" w:hAnsi="仿宋_GB2312" w:cs="仿宋_GB2312"/>
          <w:szCs w:val="30"/>
          <w:highlight w:val="none"/>
        </w:rPr>
        <w:t>青岛高新城维实业有限公司</w:t>
      </w:r>
    </w:p>
    <w:p>
      <w:pPr>
        <w:spacing w:line="520" w:lineRule="exact"/>
        <w:ind w:firstLine="6000" w:firstLineChars="20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2023年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27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</w:p>
    <w:p>
      <w:pPr>
        <w:spacing w:after="120" w:afterLines="50" w:line="520" w:lineRule="exact"/>
        <w:ind w:right="278"/>
        <w:jc w:val="center"/>
        <w:outlineLvl w:val="0"/>
        <w:rPr>
          <w:rFonts w:ascii="宋体" w:hAnsi="宋体"/>
          <w:b/>
          <w:color w:val="000000"/>
          <w:spacing w:val="8"/>
          <w:szCs w:val="30"/>
          <w:highlight w:val="none"/>
        </w:rPr>
        <w:sectPr>
          <w:footerReference r:id="rId6" w:type="first"/>
          <w:footerReference r:id="rId4" w:type="default"/>
          <w:headerReference r:id="rId3" w:type="even"/>
          <w:footerReference r:id="rId5" w:type="even"/>
          <w:pgSz w:w="11906" w:h="16838"/>
          <w:pgMar w:top="1803" w:right="1440" w:bottom="1803" w:left="1440" w:header="851" w:footer="992" w:gutter="0"/>
          <w:pgNumType w:fmt="numberInDash" w:start="0"/>
          <w:cols w:space="720" w:num="1"/>
          <w:titlePg/>
          <w:docGrid w:linePitch="312" w:charSpace="0"/>
        </w:sectPr>
      </w:pPr>
      <w:bookmarkStart w:id="0" w:name="_Toc226387921"/>
      <w:bookmarkStart w:id="1" w:name="_Toc226388022"/>
      <w:bookmarkStart w:id="2" w:name="_Toc226388165"/>
    </w:p>
    <w:bookmarkEnd w:id="0"/>
    <w:bookmarkEnd w:id="1"/>
    <w:bookmarkEnd w:id="2"/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供应商名称：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地址：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成立时间：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日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姓名：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性别：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年龄：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职务：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特此证明。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附：法定代表人身份证复印件。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投标人：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（公章）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         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日           </w:t>
      </w:r>
    </w:p>
    <w:p>
      <w:pPr>
        <w:pStyle w:val="3"/>
        <w:spacing w:before="0" w:after="0" w:line="360" w:lineRule="auto"/>
        <w:rPr>
          <w:rFonts w:ascii="仿宋_GB2312" w:hAnsi="仿宋_GB2312" w:eastAsia="仿宋_GB2312" w:cs="仿宋_GB2312"/>
          <w:kern w:val="1"/>
          <w:sz w:val="28"/>
          <w:szCs w:val="28"/>
          <w:highlight w:val="none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  <w:bookmarkStart w:id="3" w:name="_Toc8859"/>
      <w:r>
        <w:rPr>
          <w:rFonts w:hint="eastAsia" w:ascii="黑体" w:hAnsi="黑体" w:cs="黑体"/>
          <w:b w:val="0"/>
          <w:bCs w:val="0"/>
          <w:kern w:val="1"/>
          <w:sz w:val="30"/>
          <w:szCs w:val="30"/>
          <w:highlight w:val="none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hAnsi="仿宋_GB2312" w:cs="仿宋_GB2312"/>
          <w:b/>
          <w:bCs/>
          <w:kern w:val="1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 w:cs="方正小标宋_GBK"/>
          <w:kern w:val="1"/>
          <w:sz w:val="36"/>
          <w:szCs w:val="36"/>
          <w:highlight w:val="none"/>
        </w:rPr>
        <w:t>法定代表人授权委托书</w:t>
      </w:r>
      <w:bookmarkEnd w:id="3"/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  <w:highlight w:val="none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我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 （姓名）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（投标人名称）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法定代表人，现授权委托我公司的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</w:rPr>
        <w:t>（姓名）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为我公司本次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</w:rPr>
        <w:t>（项目名称）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29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29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被授权代表无权转让委托权。特此授权。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  <w:highlight w:val="none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本授权委托书于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kern w:val="1"/>
          <w:sz w:val="28"/>
          <w:szCs w:val="28"/>
          <w:highlight w:val="none"/>
          <w:u w:val="single"/>
        </w:rPr>
        <w:t xml:space="preserve">      </w:t>
      </w: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日签字生效,特此声明。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kern w:val="1"/>
          <w:sz w:val="28"/>
          <w:szCs w:val="28"/>
          <w:highlight w:val="none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rPr>
          <w:rStyle w:val="29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被授权代表姓名：              性 别：              年 龄：  </w:t>
      </w:r>
    </w:p>
    <w:p>
      <w:pPr>
        <w:autoSpaceDE w:val="0"/>
        <w:autoSpaceDN w:val="0"/>
        <w:adjustRightInd w:val="0"/>
        <w:spacing w:line="360" w:lineRule="auto"/>
        <w:rPr>
          <w:rStyle w:val="29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单  位：                      部 门：              职 务： 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投标人（公章）：  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法定代表人（签字或盖章）：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29"/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Style w:val="29"/>
          <w:rFonts w:hint="eastAsia" w:ascii="仿宋_GB2312" w:hAnsi="仿宋_GB2312" w:eastAsia="仿宋_GB2312" w:cs="仿宋_GB2312"/>
          <w:sz w:val="28"/>
          <w:szCs w:val="28"/>
          <w:highlight w:val="none"/>
        </w:rPr>
        <w:t>日 期：  年 月  日</w:t>
      </w:r>
    </w:p>
    <w:p>
      <w:pPr>
        <w:spacing w:line="360" w:lineRule="auto"/>
        <w:jc w:val="center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  <w:highlight w:val="none"/>
        </w:rPr>
      </w:pPr>
    </w:p>
    <w:p>
      <w:pPr>
        <w:widowControl/>
        <w:autoSpaceDE w:val="0"/>
        <w:autoSpaceDN w:val="0"/>
        <w:adjustRightInd w:val="0"/>
        <w:spacing w:line="360" w:lineRule="auto"/>
        <w:rPr>
          <w:highlight w:val="none"/>
        </w:rPr>
      </w:pPr>
    </w:p>
    <w:sectPr>
      <w:headerReference r:id="rId7" w:type="default"/>
      <w:footerReference r:id="rId8" w:type="default"/>
      <w:pgSz w:w="11906" w:h="16838"/>
      <w:pgMar w:top="1418" w:right="1247" w:bottom="851" w:left="1247" w:header="851" w:footer="992" w:gutter="0"/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both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</w:rPr>
                            <w:t>- 8 -</w:t>
                          </w:r>
                          <w:r>
                            <w:rPr>
                              <w:rStyle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jc w:val="center"/>
                      <w:rPr>
                        <w:rStyle w:val="22"/>
                      </w:rPr>
                    </w:pPr>
                    <w:r>
                      <w:rPr>
                        <w:rStyle w:val="22"/>
                      </w:rPr>
                      <w:fldChar w:fldCharType="begin"/>
                    </w:r>
                    <w:r>
                      <w:rPr>
                        <w:rStyle w:val="22"/>
                      </w:rPr>
                      <w:instrText xml:space="preserve">PAGE  </w:instrText>
                    </w:r>
                    <w:r>
                      <w:rPr>
                        <w:rStyle w:val="22"/>
                      </w:rPr>
                      <w:fldChar w:fldCharType="separate"/>
                    </w:r>
                    <w:r>
                      <w:rPr>
                        <w:rStyle w:val="22"/>
                      </w:rPr>
                      <w:t>- 8 -</w:t>
                    </w:r>
                    <w:r>
                      <w:rPr>
                        <w:rStyle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宋体" w:hAnsi="宋体"/>
        <w:b/>
        <w:bCs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2540" r="635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- 20 -</w:t>
                          </w:r>
                          <w:r>
                            <w:rPr>
                              <w:rStyle w:val="22"/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+V+SdAAAAADAQAADwAAAAAAAAABACAAAAAiAAAAZHJzL2Rv&#10;d25yZXYueG1sUEsBAhQAFAAAAAgAh07iQGVp4a4JAgAAAg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2"/>
                      </w:rPr>
                    </w:pP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eastAsia="宋体" w:cs="宋体"/>
                        <w:sz w:val="21"/>
                        <w:szCs w:val="21"/>
                      </w:rPr>
                      <w:t>- 20 -</w:t>
                    </w:r>
                    <w:r>
                      <w:rPr>
                        <w:rStyle w:val="22"/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rStyle w:val="22"/>
      </w:rPr>
      <w:fldChar w:fldCharType="begin"/>
    </w:r>
    <w:r>
      <w:rPr>
        <w:rStyle w:val="22"/>
      </w:rPr>
      <w:instrText xml:space="preserve"> PAGE </w:instrText>
    </w:r>
    <w:r>
      <w:rPr>
        <w:rStyle w:val="22"/>
      </w:rPr>
      <w:fldChar w:fldCharType="separate"/>
    </w:r>
    <w:r>
      <w:rPr>
        <w:rStyle w:val="22"/>
      </w:rPr>
      <w:t>5</w:t>
    </w:r>
    <w:r>
      <w:rPr>
        <w:rStyle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E5E1C"/>
    <w:multiLevelType w:val="multilevel"/>
    <w:tmpl w:val="528E5E1C"/>
    <w:lvl w:ilvl="0" w:tentative="0">
      <w:start w:val="1"/>
      <w:numFmt w:val="decimal"/>
      <w:pStyle w:val="26"/>
      <w:lvlText w:val="%1．"/>
      <w:lvlJc w:val="left"/>
      <w:pPr>
        <w:tabs>
          <w:tab w:val="left" w:pos="1050"/>
        </w:tabs>
        <w:ind w:left="1050" w:hanging="450"/>
      </w:pPr>
      <w:rPr>
        <w:rFonts w:hint="eastAsia"/>
      </w:rPr>
    </w:lvl>
    <w:lvl w:ilvl="1" w:tentative="0">
      <w:start w:val="6"/>
      <w:numFmt w:val="decimal"/>
      <w:lvlText w:val="%2."/>
      <w:lvlJc w:val="left"/>
      <w:pPr>
        <w:tabs>
          <w:tab w:val="left" w:pos="1380"/>
        </w:tabs>
        <w:ind w:left="13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4N2RkNzNjOWM5ZmE1M2NjMTViNWZjYzI2OTlmODIifQ=="/>
  </w:docVars>
  <w:rsids>
    <w:rsidRoot w:val="00000000"/>
    <w:rsid w:val="2819321A"/>
    <w:rsid w:val="4F4C5F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  <w:rPr>
      <w:sz w:val="28"/>
      <w:szCs w:val="20"/>
    </w:rPr>
  </w:style>
  <w:style w:type="paragraph" w:styleId="7">
    <w:name w:val="Body Text"/>
    <w:basedOn w:val="1"/>
    <w:qFormat/>
    <w:uiPriority w:val="0"/>
    <w:pPr>
      <w:jc w:val="center"/>
      <w:outlineLvl w:val="0"/>
    </w:pPr>
    <w:rPr>
      <w:rFonts w:ascii="宋体"/>
      <w:b/>
      <w:sz w:val="44"/>
      <w:szCs w:val="20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link w:val="24"/>
    <w:qFormat/>
    <w:uiPriority w:val="0"/>
    <w:rPr>
      <w:rFonts w:ascii="宋体" w:hAnsi="Courier New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qFormat/>
    <w:uiPriority w:val="0"/>
    <w:pPr>
      <w:ind w:firstLine="600"/>
    </w:pPr>
    <w:rPr>
      <w:rFonts w:ascii="宋体" w:hAnsi="宋体"/>
      <w:sz w:val="28"/>
      <w:szCs w:val="20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0"/>
  </w:style>
  <w:style w:type="paragraph" w:styleId="16">
    <w:name w:val="Body Text Indent 3"/>
    <w:basedOn w:val="1"/>
    <w:qFormat/>
    <w:uiPriority w:val="0"/>
    <w:pPr>
      <w:spacing w:line="360" w:lineRule="auto"/>
      <w:ind w:firstLine="601"/>
    </w:pPr>
    <w:rPr>
      <w:sz w:val="28"/>
      <w:szCs w:val="20"/>
    </w:rPr>
  </w:style>
  <w:style w:type="paragraph" w:styleId="17">
    <w:name w:val="Body Text 2"/>
    <w:basedOn w:val="1"/>
    <w:qFormat/>
    <w:uiPriority w:val="0"/>
    <w:pPr>
      <w:spacing w:line="360" w:lineRule="auto"/>
    </w:pPr>
    <w:rPr>
      <w:rFonts w:ascii="宋体"/>
      <w:sz w:val="24"/>
      <w:szCs w:val="20"/>
    </w:rPr>
  </w:style>
  <w:style w:type="paragraph" w:styleId="1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qFormat/>
    <w:uiPriority w:val="0"/>
    <w:rPr>
      <w:color w:val="0000FF"/>
      <w:u w:val="single"/>
    </w:rPr>
  </w:style>
  <w:style w:type="character" w:customStyle="1" w:styleId="24">
    <w:name w:val="纯文本 字符"/>
    <w:basedOn w:val="21"/>
    <w:link w:val="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5">
    <w:name w:val="默认段落字体 Para Char Char Char Char Char Char Char"/>
    <w:basedOn w:val="1"/>
    <w:qFormat/>
    <w:uiPriority w:val="0"/>
    <w:pPr>
      <w:adjustRightInd w:val="0"/>
      <w:spacing w:line="360" w:lineRule="auto"/>
      <w:ind w:firstLine="566" w:firstLineChars="236"/>
    </w:pPr>
    <w:rPr>
      <w:kern w:val="0"/>
      <w:sz w:val="24"/>
      <w:szCs w:val="20"/>
    </w:rPr>
  </w:style>
  <w:style w:type="paragraph" w:customStyle="1" w:styleId="26">
    <w:name w:val="Char2 Char Char Char Char Char Char"/>
    <w:basedOn w:val="1"/>
    <w:qFormat/>
    <w:uiPriority w:val="0"/>
    <w:pPr>
      <w:numPr>
        <w:ilvl w:val="0"/>
        <w:numId w:val="1"/>
      </w:numPr>
      <w:tabs>
        <w:tab w:val="left" w:pos="750"/>
      </w:tabs>
      <w:spacing w:line="360" w:lineRule="auto"/>
      <w:ind w:firstLine="120"/>
      <w:jc w:val="left"/>
    </w:pPr>
    <w:rPr>
      <w:rFonts w:ascii="宋体" w:hAnsi="宋体"/>
      <w:sz w:val="18"/>
      <w:szCs w:val="18"/>
    </w:rPr>
  </w:style>
  <w:style w:type="paragraph" w:customStyle="1" w:styleId="27">
    <w:name w:val="Char"/>
    <w:basedOn w:val="1"/>
    <w:qFormat/>
    <w:uiPriority w:val="0"/>
    <w:rPr>
      <w:szCs w:val="20"/>
    </w:rPr>
  </w:style>
  <w:style w:type="paragraph" w:customStyle="1" w:styleId="28">
    <w:name w:val="Char Char Char Char"/>
    <w:basedOn w:val="1"/>
    <w:qFormat/>
    <w:uiPriority w:val="0"/>
    <w:rPr>
      <w:szCs w:val="21"/>
    </w:rPr>
  </w:style>
  <w:style w:type="character" w:customStyle="1" w:styleId="29">
    <w:name w:val="样式 仿宋"/>
    <w:qFormat/>
    <w:uiPriority w:val="0"/>
    <w:rPr>
      <w:rFonts w:ascii="仿宋" w:hAnsi="仿宋" w:eastAsia="仿宋"/>
      <w:kern w:val="1"/>
    </w:rPr>
  </w:style>
  <w:style w:type="paragraph" w:customStyle="1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font1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5</Pages>
  <Words>1445</Words>
  <Characters>1672</Characters>
  <Lines>16</Lines>
  <Paragraphs>21</Paragraphs>
  <TotalTime>2</TotalTime>
  <ScaleCrop>false</ScaleCrop>
  <LinksUpToDate>false</LinksUpToDate>
  <CharactersWithSpaces>2058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2023-04-26T09:10:00Z</dcterms:created>
  <dc:creator>wgc</dc:creator>
  <cp:lastModifiedBy>陌上&amp;花开</cp:lastModifiedBy>
  <cp:lastPrinted>2012-04-28T08:53:00Z</cp:lastPrinted>
  <dcterms:modified xsi:type="dcterms:W3CDTF">2023-05-27T02:45:14Z</dcterms:modified>
  <dc:title>唐山市西山道供热管网改造工程</dc:title>
  <cp:revision>204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65E74DB3D69E4B3DB37959717FF6DB2B</vt:lpwstr>
  </property>
</Properties>
</file>