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b/>
          <w:bCs/>
          <w:sz w:val="40"/>
          <w:szCs w:val="40"/>
        </w:rPr>
        <w:t>高新城维公司皮卡车</w:t>
      </w:r>
    </w:p>
    <w:p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b/>
          <w:bCs/>
          <w:sz w:val="40"/>
          <w:szCs w:val="40"/>
        </w:rPr>
        <w:t>采购项目询价函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我公司现对皮卡车采购项目向贵公司发出询价邀请，具体如下：</w:t>
      </w:r>
    </w:p>
    <w:p>
      <w:pPr>
        <w:pStyle w:val="15"/>
        <w:spacing w:line="560" w:lineRule="exact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1.项目名称</w:t>
      </w:r>
      <w:r>
        <w:rPr>
          <w:rFonts w:hint="eastAsia" w:ascii="仿宋_GB2312" w:eastAsia="仿宋_GB2312"/>
          <w:sz w:val="28"/>
          <w:szCs w:val="28"/>
        </w:rPr>
        <w:t>：高新城维公司皮卡车采购项目</w:t>
      </w:r>
    </w:p>
    <w:p>
      <w:pPr>
        <w:pStyle w:val="15"/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2.项目地点：</w:t>
      </w:r>
      <w:r>
        <w:rPr>
          <w:rFonts w:hint="eastAsia" w:ascii="仿宋_GB2312" w:eastAsia="仿宋_GB2312"/>
          <w:sz w:val="28"/>
          <w:szCs w:val="28"/>
        </w:rPr>
        <w:t>高新区河东路3</w:t>
      </w:r>
      <w:r>
        <w:rPr>
          <w:rFonts w:ascii="仿宋_GB2312" w:eastAsia="仿宋_GB2312"/>
          <w:sz w:val="28"/>
          <w:szCs w:val="28"/>
        </w:rPr>
        <w:t>68</w:t>
      </w:r>
      <w:r>
        <w:rPr>
          <w:rFonts w:hint="eastAsia" w:ascii="仿宋_GB2312" w:eastAsia="仿宋_GB2312"/>
          <w:sz w:val="28"/>
          <w:szCs w:val="28"/>
        </w:rPr>
        <w:t>号。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3.采购需求：</w:t>
      </w:r>
      <w:r>
        <w:rPr>
          <w:rFonts w:hint="eastAsia" w:ascii="仿宋_GB2312" w:eastAsia="仿宋_GB2312"/>
          <w:sz w:val="28"/>
          <w:szCs w:val="28"/>
        </w:rPr>
        <w:t>皮卡车1部，满足工程分公司工程抢险和养护业务的需求。</w:t>
      </w:r>
    </w:p>
    <w:p>
      <w:pPr>
        <w:pStyle w:val="15"/>
        <w:spacing w:line="560" w:lineRule="exact"/>
        <w:ind w:firstLine="56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符合国家质量标准和法律法规要求。</w:t>
      </w:r>
    </w:p>
    <w:p>
      <w:pPr>
        <w:pStyle w:val="15"/>
        <w:spacing w:line="560" w:lineRule="exact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4.最高限价：13</w:t>
      </w:r>
      <w:r>
        <w:rPr>
          <w:rFonts w:hint="eastAsia" w:ascii="仿宋_GB2312" w:eastAsia="仿宋_GB2312"/>
          <w:sz w:val="28"/>
          <w:szCs w:val="28"/>
        </w:rPr>
        <w:t>万元（含税价，税率1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%）。</w:t>
      </w:r>
    </w:p>
    <w:p>
      <w:pPr>
        <w:pStyle w:val="15"/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5.报价单位资格要求：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5.1具有独立承担民事责任能力的法人或其他组织。</w:t>
      </w:r>
    </w:p>
    <w:p>
      <w:pPr>
        <w:pStyle w:val="15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5.2具有履行合同所必须的专业技术能力。</w:t>
      </w:r>
    </w:p>
    <w:p>
      <w:pPr>
        <w:pStyle w:val="15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5.3该询价函发布之日前三年无行贿犯罪等重大违法记录。</w:t>
      </w:r>
    </w:p>
    <w:p>
      <w:pPr>
        <w:pStyle w:val="15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5.4具备法律法规规定的其他条件。</w:t>
      </w:r>
    </w:p>
    <w:p>
      <w:pPr>
        <w:pStyle w:val="15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5.5本项目不接受联合体报价。</w:t>
      </w:r>
    </w:p>
    <w:p>
      <w:pPr>
        <w:pStyle w:val="15"/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6.技术参数</w:t>
      </w:r>
    </w:p>
    <w:tbl>
      <w:tblPr>
        <w:tblStyle w:val="9"/>
        <w:tblW w:w="5000" w:type="pct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82"/>
        <w:gridCol w:w="4819"/>
        <w:gridCol w:w="674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bookmarkStart w:id="0" w:name="_Hlk137194708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52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技术要求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0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皮卡</w:t>
            </w:r>
          </w:p>
        </w:tc>
        <w:tc>
          <w:tcPr>
            <w:tcW w:w="5298" w:type="dxa"/>
            <w:vAlign w:val="center"/>
          </w:tcPr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1.★座位数：5座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2.★</w:t>
            </w:r>
            <w:r>
              <w:rPr>
                <w:rFonts w:hint="eastAsia"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外形尺寸（mm）：长≥5680</w:t>
            </w:r>
            <w:r>
              <w:rPr>
                <w:rFonts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宽≥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1960</w:t>
            </w:r>
            <w:r>
              <w:rPr>
                <w:rFonts w:hint="eastAsia"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，高≥1870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3.总质量（kg）：≥2720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4.整备质量（kg）：≥1980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5.★燃油种类：汽油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6.排放标准：国六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7. ★轴距（mm）：≥3470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8. ★变速箱：8速自动挡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9.驱动方式：后驱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10.最高车速（km/h）：≥190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12.前轮距（mm）：≥1590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13.后轮距（mm）：≥1580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14.排量（ml）：≤2.0T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15. ★功率（kw）；≥192</w:t>
            </w:r>
            <w:r>
              <w:rPr>
                <w:rFonts w:ascii="仿宋" w:hAnsi="仿宋" w:cs="仿宋"/>
                <w:color w:val="000000"/>
                <w:kern w:val="0"/>
              </w:rPr>
              <w:t>KW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kern w:val="0"/>
              </w:rPr>
              <w:t>★扭矩（Nm）:≥410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17.整车质保:3年或</w:t>
            </w:r>
            <w:r>
              <w:rPr>
                <w:rFonts w:ascii="仿宋" w:hAnsi="仿宋" w:cs="仿宋"/>
                <w:color w:val="000000"/>
                <w:kern w:val="0"/>
              </w:rPr>
              <w:t>6</w:t>
            </w:r>
            <w:r>
              <w:rPr>
                <w:rFonts w:hint="eastAsia" w:ascii="仿宋" w:hAnsi="仿宋" w:cs="仿宋"/>
                <w:color w:val="000000"/>
                <w:kern w:val="0"/>
              </w:rPr>
              <w:t>万公里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kern w:val="0"/>
              </w:rPr>
            </w:pPr>
            <w:r>
              <w:rPr>
                <w:rFonts w:hint="eastAsia" w:ascii="仿宋" w:hAnsi="仿宋" w:cs="仿宋"/>
                <w:kern w:val="0"/>
              </w:rPr>
              <w:t>18.轮胎数：4（</w:t>
            </w:r>
            <w:r>
              <w:rPr>
                <w:rFonts w:hint="eastAsia" w:ascii="仿宋" w:hAnsi="仿宋" w:cs="仿宋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255/60R18HT</w:t>
            </w:r>
            <w:r>
              <w:rPr>
                <w:rFonts w:hint="eastAsia" w:ascii="仿宋" w:hAnsi="仿宋" w:cs="仿宋"/>
                <w:kern w:val="0"/>
              </w:rPr>
              <w:t>）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19.主副驾安全气囊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20.制动系统:前/后盘式制动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21.悬架系统:双叉臂螺旋独立悬架/全渐变式钢板弹簧非独立悬架</w:t>
            </w:r>
          </w:p>
          <w:p>
            <w:pPr>
              <w:pStyle w:val="23"/>
              <w:ind w:firstLine="0" w:firstLineChars="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仿宋"/>
                <w:color w:val="000000"/>
                <w:kern w:val="0"/>
              </w:rPr>
              <w:t>22.车体颜色：</w:t>
            </w:r>
            <w:r>
              <w:rPr>
                <w:rFonts w:hint="eastAsia" w:ascii="仿宋" w:hAnsi="仿宋" w:cs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灰色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辆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bookmarkEnd w:id="0"/>
    </w:tbl>
    <w:p>
      <w:pPr>
        <w:pStyle w:val="15"/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</w:rPr>
      </w:pPr>
    </w:p>
    <w:p>
      <w:pPr>
        <w:pStyle w:val="15"/>
        <w:spacing w:line="560" w:lineRule="exact"/>
        <w:ind w:left="560" w:firstLine="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7.报名截止时间：</w:t>
      </w:r>
      <w:r>
        <w:rPr>
          <w:rFonts w:hint="eastAsia" w:ascii="仿宋_GB2312" w:eastAsia="仿宋_GB2312"/>
          <w:sz w:val="28"/>
          <w:szCs w:val="28"/>
        </w:rPr>
        <w:t>2023年6月</w:t>
      </w:r>
      <w:r>
        <w:rPr>
          <w:rFonts w:ascii="仿宋_GB2312" w:eastAsia="仿宋_GB2312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时。</w:t>
      </w:r>
    </w:p>
    <w:p>
      <w:pPr>
        <w:pStyle w:val="15"/>
        <w:spacing w:line="560" w:lineRule="exact"/>
        <w:ind w:firstLine="562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8.响应文件递交、截止时间以及地点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时间：2023年6月</w:t>
      </w:r>
      <w:r>
        <w:rPr>
          <w:rFonts w:ascii="仿宋_GB2312" w:hAnsi="仿宋_GB2312" w:eastAsia="仿宋_GB2312" w:cs="仿宋_GB2312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ascii="仿宋_GB2312" w:hAnsi="仿宋_GB2312" w:eastAsia="仿宋_GB2312" w:cs="仿宋_GB2312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分至9时</w:t>
      </w:r>
      <w:r>
        <w:rPr>
          <w:rFonts w:ascii="仿宋_GB2312" w:hAnsi="仿宋_GB2312" w:eastAsia="仿宋_GB2312" w:cs="仿宋_GB2312"/>
          <w:sz w:val="28"/>
          <w:szCs w:val="28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分止。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地点：青岛高新区汇智桥路北端高新城维实业有限公司环卫分公司会议室。逾期递交或者未送达指定地点的投标文件不予接受。</w:t>
      </w:r>
    </w:p>
    <w:p>
      <w:pPr>
        <w:pStyle w:val="15"/>
        <w:spacing w:line="560" w:lineRule="exact"/>
        <w:ind w:firstLine="562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9.开标时间以及地点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时间：2023年6月</w:t>
      </w:r>
      <w:r>
        <w:rPr>
          <w:rFonts w:ascii="仿宋_GB2312" w:hAnsi="仿宋_GB2312" w:eastAsia="仿宋_GB2312" w:cs="仿宋_GB2312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0分。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地点：青岛高新区汇智桥路北端高新城维实业有限公司环卫分公司会议室。</w:t>
      </w:r>
    </w:p>
    <w:p>
      <w:pPr>
        <w:pStyle w:val="15"/>
        <w:spacing w:line="560" w:lineRule="exact"/>
        <w:ind w:firstLine="562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10.联系方式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采购人：青岛高新城维实业有限公司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地址：高新区河东路3</w:t>
      </w:r>
      <w:r>
        <w:rPr>
          <w:rFonts w:ascii="仿宋_GB2312" w:hAnsi="仿宋_GB2312" w:eastAsia="仿宋_GB2312" w:cs="仿宋_GB2312"/>
          <w:sz w:val="28"/>
          <w:szCs w:val="28"/>
        </w:rPr>
        <w:t>68</w:t>
      </w:r>
      <w:r>
        <w:rPr>
          <w:rFonts w:hint="eastAsia" w:ascii="仿宋_GB2312" w:hAnsi="仿宋_GB2312" w:eastAsia="仿宋_GB2312" w:cs="仿宋_GB2312"/>
          <w:sz w:val="28"/>
          <w:szCs w:val="28"/>
        </w:rPr>
        <w:t>号蓝色生物医药产业园3号楼5</w:t>
      </w:r>
      <w:r>
        <w:rPr>
          <w:rFonts w:ascii="仿宋_GB2312" w:hAnsi="仿宋_GB2312" w:eastAsia="仿宋_GB2312" w:cs="仿宋_GB2312"/>
          <w:sz w:val="28"/>
          <w:szCs w:val="28"/>
        </w:rPr>
        <w:t>01</w:t>
      </w:r>
      <w:r>
        <w:rPr>
          <w:rFonts w:hint="eastAsia" w:ascii="仿宋_GB2312" w:hAnsi="仿宋_GB2312" w:eastAsia="仿宋_GB2312" w:cs="仿宋_GB2312"/>
          <w:sz w:val="28"/>
          <w:szCs w:val="28"/>
        </w:rPr>
        <w:t>室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联系人：孙冠军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电话：151</w:t>
      </w:r>
      <w:r>
        <w:rPr>
          <w:rFonts w:ascii="仿宋_GB2312" w:hAnsi="仿宋_GB2312" w:eastAsia="仿宋_GB2312" w:cs="仿宋_GB2312"/>
          <w:sz w:val="28"/>
          <w:szCs w:val="28"/>
        </w:rPr>
        <w:t>94296550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一、磋商单位须知前附表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条款名称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采购人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青岛高新城维实业有限公司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高新城维公司皮卡车采购项目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资金来源及构成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报价有效期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自报价截止之日起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踏勘现场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不组织，自行踏勘。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投标保证金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本项目无需缴纳保证金。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响应报价范围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含税裸车价，包含提供相关服务的所有费用。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磋商文件组成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1) 报价单（见附件）；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2) 授权委托书（见附件）；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3) 在经营活动中无重大违法记录和行贿犯罪记录的书面声明（见附件）；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4) 营业执照复印件；</w:t>
            </w:r>
          </w:p>
          <w:p>
            <w:pPr>
              <w:pStyle w:val="2"/>
              <w:ind w:left="0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技术参数；</w:t>
            </w:r>
          </w:p>
          <w:p>
            <w:pPr>
              <w:pStyle w:val="3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6）产品配置情况；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7）售后服务及保障；</w:t>
            </w:r>
          </w:p>
          <w:p>
            <w:pPr>
              <w:pStyle w:val="2"/>
              <w:ind w:left="0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8）企业业绩和实力；</w:t>
            </w:r>
          </w:p>
          <w:p>
            <w:pPr>
              <w:pStyle w:val="3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9）体系建设；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产品综合情况；</w:t>
            </w:r>
          </w:p>
          <w:p>
            <w:pPr>
              <w:pStyle w:val="2"/>
              <w:ind w:left="0"/>
            </w:pPr>
            <w:r>
              <w:rPr>
                <w:rFonts w:hint="eastAsia"/>
                <w:lang w:val="en-US"/>
              </w:rPr>
              <w:t>11）</w:t>
            </w:r>
            <w:r>
              <w:rPr>
                <w:rFonts w:hint="eastAsia"/>
              </w:rPr>
              <w:t>技术服务方案；</w:t>
            </w:r>
          </w:p>
          <w:p>
            <w:pPr>
              <w:pStyle w:val="3"/>
              <w:ind w:firstLine="0" w:firstLineChars="0"/>
              <w:rPr>
                <w:rFonts w:eastAsia="仿宋"/>
              </w:rPr>
            </w:pPr>
            <w:r>
              <w:rPr>
                <w:rFonts w:hint="eastAsia"/>
                <w:sz w:val="24"/>
                <w:szCs w:val="24"/>
              </w:rPr>
              <w:t>12）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售后服务。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以上资料需每页加盖公章，一式5份,商务和技术标分别封置。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最高限价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见询价竞谈函“4、最高限价”有关规定。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响应报价次数</w:t>
            </w:r>
          </w:p>
        </w:tc>
        <w:tc>
          <w:tcPr>
            <w:tcW w:w="5324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响应单位不少于5家，实行三轮报价，第三轮报价为最终价格，后一轮报价不得高于前一轮最低报价，最低报价以含税总报价为准。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第一轮报价结束后按照含税总报价由高到低淘汰1/3（取整）。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第二轮参与报价单位以第一轮最低含税总报价为控制价格自主下浮，报价结束后按照含税总报价由高到低淘汰1/3（取整），若第二轮参与单位只有三家则不进行淘汰。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第三轮以第二轮最低含税总报价为控制价，按照入围三家单位的第二轮报价，由高到低依次进行竞谈。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按照各响应单位在三轮报价中的最低含税总报价进行综合评价，通过综合评价确定成交供应商，其最终报价为中标价。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定标方式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本项目采取综合评分，得分最高者中标。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质保期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按国家规定。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left="0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付款方式</w:t>
            </w:r>
          </w:p>
        </w:tc>
        <w:tc>
          <w:tcPr>
            <w:tcW w:w="532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签订合同后，产品到货验收合格按合同规定付款。须开增值税专用发票，税率按照国家政策执行。</w:t>
            </w:r>
          </w:p>
        </w:tc>
      </w:tr>
    </w:tbl>
    <w:p>
      <w:pPr>
        <w:outlineLvl w:val="0"/>
        <w:rPr>
          <w:rFonts w:ascii="仿宋_GB2312" w:hAnsi="仿宋_GB2312" w:cs="仿宋_GB2312"/>
          <w:szCs w:val="28"/>
        </w:rPr>
      </w:pPr>
    </w:p>
    <w:p>
      <w:pPr>
        <w:pStyle w:val="4"/>
        <w:ind w:firstLine="2764" w:firstLineChars="864"/>
        <w:rPr>
          <w:rFonts w:ascii="方正小标宋_GBK" w:hAnsi="方正小标宋_GBK" w:eastAsia="方正小标宋_GBK" w:cs="方正小标宋_GBK"/>
          <w:bCs w:val="0"/>
          <w:sz w:val="32"/>
        </w:rPr>
      </w:pPr>
      <w:bookmarkStart w:id="1" w:name="_Toc508974830"/>
      <w:bookmarkStart w:id="2" w:name="_Toc25432"/>
      <w:bookmarkStart w:id="3" w:name="_Toc118357752"/>
      <w:r>
        <w:rPr>
          <w:rFonts w:hint="eastAsia" w:ascii="方正小标宋_GBK" w:hAnsi="方正小标宋_GBK" w:eastAsia="方正小标宋_GBK" w:cs="方正小标宋_GBK"/>
          <w:bCs w:val="0"/>
          <w:sz w:val="32"/>
        </w:rPr>
        <w:t>二、评分标准</w:t>
      </w:r>
      <w:bookmarkEnd w:id="1"/>
      <w:bookmarkEnd w:id="2"/>
      <w:bookmarkEnd w:id="3"/>
      <w:bookmarkStart w:id="4" w:name="_Toc508974831"/>
    </w:p>
    <w:bookmarkEnd w:id="4"/>
    <w:p>
      <w:pPr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_GB2312" w:cs="仿宋_GB2312"/>
          <w:szCs w:val="28"/>
        </w:rPr>
        <w:t>2.1评分因素以及分值</w:t>
      </w:r>
    </w:p>
    <w:tbl>
      <w:tblPr>
        <w:tblStyle w:val="9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358"/>
        <w:gridCol w:w="190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评分因素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商务部分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技术部分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分值比重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45分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55分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100分</w:t>
            </w:r>
          </w:p>
        </w:tc>
      </w:tr>
    </w:tbl>
    <w:p>
      <w:pPr>
        <w:ind w:firstLine="560"/>
        <w:rPr>
          <w:rFonts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2.2商务部分</w:t>
      </w:r>
    </w:p>
    <w:tbl>
      <w:tblPr>
        <w:tblStyle w:val="9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6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评分因素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分数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1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响应报价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30分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本项满分为30分。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以第三轮最低报价为评审基准价。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报价得分=评审基准价÷投标最终报价×30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Style w:val="2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企业业绩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6分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日(近三年)以来承揽的同类皮卡车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供货</w:t>
            </w:r>
            <w:r>
              <w:rPr>
                <w:rFonts w:hint="eastAsia" w:ascii="仿宋" w:hAnsi="仿宋" w:eastAsia="仿宋"/>
                <w:sz w:val="24"/>
              </w:rPr>
              <w:t>项目，每个得2分，最高得6分；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注：须提供合同及成交通知书复印件并加盖公章，否则不得分。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企业实力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6分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供应商通过ISO9001质量管理体系认证得2分；供应商具有其他管理体系认证的，每有1个得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分，本项最高得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分；均须提供证书复印件并加盖公章，否则不得分。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服务保障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3分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青岛地区注册或设有分支机构的或在青岛具有常驻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特约维修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协议服务机构的得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分（提供机构的营业执照原件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或复印件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或者服务机构营业执照原件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或复印件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、双方协议书原件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或复印件</w:t>
            </w: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，未提供或者提供不全的不得分）。</w:t>
            </w:r>
          </w:p>
        </w:tc>
      </w:tr>
    </w:tbl>
    <w:p>
      <w:pPr>
        <w:ind w:firstLine="560"/>
        <w:rPr>
          <w:rFonts w:ascii="仿宋_GB2312" w:hAnsi="仿宋_GB2312" w:cs="仿宋_GB2312"/>
          <w:szCs w:val="28"/>
        </w:rPr>
      </w:pPr>
      <w:r>
        <w:rPr>
          <w:rFonts w:hint="eastAsia" w:ascii="仿宋_GB2312" w:hAnsi="仿宋_GB2312" w:cs="仿宋_GB2312"/>
          <w:szCs w:val="28"/>
        </w:rPr>
        <w:t>2.3技术部分</w:t>
      </w:r>
    </w:p>
    <w:tbl>
      <w:tblPr>
        <w:tblStyle w:val="9"/>
        <w:tblpPr w:leftFromText="180" w:rightFromText="180" w:vertAnchor="text" w:horzAnchor="page" w:tblpX="1817" w:tblpY="169"/>
        <w:tblOverlap w:val="never"/>
        <w:tblW w:w="47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011"/>
        <w:gridCol w:w="5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评分因素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分数</w:t>
            </w:r>
          </w:p>
        </w:tc>
        <w:tc>
          <w:tcPr>
            <w:tcW w:w="34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技术指标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响应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26分</w:t>
            </w:r>
          </w:p>
        </w:tc>
        <w:tc>
          <w:tcPr>
            <w:tcW w:w="3452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根据供应商对采购文件各项基本要求(包括功能参数、配置要求、技术参数)的响应情况进行评审，全部满足为26分。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★为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实质性的参数响应条款，未做出实质性响应或者发生负偏离的，响应无效；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▲为技术重要条款，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每出现1条负偏离，扣除基础分2分；非实质性的参数条款，每出现1条负偏离，扣除基础分1分；其扣完为止。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质量、环境及安全体系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5分</w:t>
            </w:r>
          </w:p>
        </w:tc>
        <w:tc>
          <w:tcPr>
            <w:tcW w:w="3452" w:type="pc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有完善的质量、环境及安全管理体系，措施有力，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得5-1分</w:t>
            </w:r>
            <w:r>
              <w:rPr>
                <w:rStyle w:val="22"/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产品综合情况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6分</w:t>
            </w:r>
          </w:p>
        </w:tc>
        <w:tc>
          <w:tcPr>
            <w:tcW w:w="3452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1.根据所投车辆选型及配置，主要结构及性能对采购文件的响应程度，综合考虑所投产品的安全性、稳定性、兼容性、维护便捷等，得6-1分。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技术服务方案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6分</w:t>
            </w:r>
          </w:p>
        </w:tc>
        <w:tc>
          <w:tcPr>
            <w:tcW w:w="3452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1.根据供应商供货渠道及供货计划安排、供货期保证措施等，得3-1分；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2.根据供应商质量、进度、安全等控制措施完整，切实可行，得3-1分。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售后服务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22"/>
                <w:rFonts w:hint="eastAsia"/>
                <w:sz w:val="24"/>
                <w:szCs w:val="24"/>
              </w:rPr>
              <w:t>12分</w:t>
            </w:r>
          </w:p>
        </w:tc>
        <w:tc>
          <w:tcPr>
            <w:tcW w:w="3452" w:type="pc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1.根据供应商在质保期内(除人为损坏情况外)免费退换、上门维修、更换备用件、技术支持等方面的服务承诺，得3-1分。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2.出现问题响应时间（电话沟通、到达现场、解决问题的时间）及时。有详细的售后服务方案，包括服务人员的配备、响应时间和程度、解决问题的能力，得3-1分。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3.有完善的质量保证期内产品维护措施、紧急故障处理预案、备品备件、培训计划，得3-1分。</w:t>
            </w:r>
          </w:p>
          <w:p>
            <w:r>
              <w:rPr>
                <w:rFonts w:hint="eastAsia" w:ascii="仿宋" w:hAnsi="仿宋" w:eastAsia="仿宋"/>
                <w:sz w:val="24"/>
                <w:szCs w:val="24"/>
              </w:rPr>
              <w:t>4.有详细的培训方案，免费提供专业技术培训，为业主培养合格的操作人员，服务工程师免费上门进行培训，得3-1分。</w:t>
            </w:r>
          </w:p>
        </w:tc>
      </w:tr>
    </w:tbl>
    <w:p>
      <w:pPr>
        <w:wordWrap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</w:pPr>
    </w:p>
    <w:p>
      <w:pPr>
        <w:wordWrap w:val="0"/>
        <w:spacing w:line="56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青岛高新城维实业有限公司</w:t>
      </w:r>
    </w:p>
    <w:p>
      <w:pPr>
        <w:wordWrap w:val="0"/>
        <w:spacing w:line="560" w:lineRule="exact"/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2023年6月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left"/>
        <w:rPr>
          <w:rFonts w:ascii="方正小标宋_GBK" w:eastAsia="方正小标宋_GBK"/>
          <w:sz w:val="28"/>
          <w:szCs w:val="28"/>
        </w:rPr>
      </w:pPr>
    </w:p>
    <w:p>
      <w:pPr>
        <w:pStyle w:val="2"/>
        <w:rPr>
          <w:lang w:val="en-US" w:bidi="ar-SA"/>
        </w:rPr>
      </w:pPr>
    </w:p>
    <w:p>
      <w:pPr>
        <w:pStyle w:val="3"/>
      </w:pPr>
    </w:p>
    <w:p>
      <w:pPr>
        <w:jc w:val="left"/>
        <w:rPr>
          <w:rFonts w:ascii="方正小标宋_GBK" w:eastAsia="方正小标宋_GBK"/>
          <w:sz w:val="28"/>
          <w:szCs w:val="28"/>
        </w:rPr>
      </w:pPr>
    </w:p>
    <w:p>
      <w:pPr>
        <w:jc w:val="left"/>
        <w:rPr>
          <w:rFonts w:hint="eastAsia" w:ascii="方正小标宋_GBK" w:eastAsia="方正小标宋_GBK"/>
          <w:sz w:val="28"/>
          <w:szCs w:val="28"/>
        </w:rPr>
      </w:pPr>
    </w:p>
    <w:p>
      <w:pPr>
        <w:jc w:val="left"/>
        <w:rPr>
          <w:rFonts w:hint="eastAsia" w:ascii="方正小标宋_GBK" w:eastAsia="方正小标宋_GBK"/>
          <w:sz w:val="28"/>
          <w:szCs w:val="28"/>
        </w:rPr>
      </w:pPr>
    </w:p>
    <w:p>
      <w:pPr>
        <w:jc w:val="left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</w:t>
      </w:r>
      <w:bookmarkStart w:id="5" w:name="_GoBack"/>
      <w:bookmarkEnd w:id="5"/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</w:p>
    <w:p>
      <w:pPr>
        <w:jc w:val="center"/>
        <w:rPr>
          <w:rFonts w:ascii="华文细黑" w:hAnsi="华文细黑" w:eastAsia="微软雅黑" w:cs="华文细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高新城维公司皮卡车</w:t>
      </w:r>
    </w:p>
    <w:p>
      <w:pPr>
        <w:jc w:val="center"/>
        <w:rPr>
          <w:rFonts w:ascii="华文细黑" w:hAnsi="华文细黑" w:eastAsia="华文细黑" w:cs="华文细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采购项目询价竞谈函</w:t>
      </w:r>
    </w:p>
    <w:p>
      <w:pPr>
        <w:jc w:val="center"/>
        <w:rPr>
          <w:rFonts w:ascii="华文细黑" w:hAnsi="华文细黑" w:eastAsia="华文细黑" w:cs="华文细黑"/>
          <w:b/>
          <w:bCs/>
          <w:sz w:val="28"/>
          <w:szCs w:val="28"/>
        </w:rPr>
      </w:pPr>
    </w:p>
    <w:p>
      <w:pPr>
        <w:jc w:val="center"/>
        <w:rPr>
          <w:rFonts w:ascii="华文细黑" w:hAnsi="华文细黑" w:eastAsia="华文细黑" w:cs="华文细黑"/>
          <w:b/>
          <w:bCs/>
          <w:sz w:val="28"/>
          <w:szCs w:val="28"/>
        </w:rPr>
      </w:pPr>
    </w:p>
    <w:p>
      <w:pPr>
        <w:jc w:val="center"/>
        <w:rPr>
          <w:rFonts w:ascii="华文细黑" w:hAnsi="华文细黑" w:eastAsia="华文细黑" w:cs="华文细黑"/>
          <w:b/>
          <w:bCs/>
          <w:sz w:val="28"/>
          <w:szCs w:val="28"/>
        </w:rPr>
      </w:pPr>
    </w:p>
    <w:p>
      <w:pPr>
        <w:jc w:val="center"/>
        <w:rPr>
          <w:rFonts w:ascii="华文细黑" w:hAnsi="华文细黑" w:eastAsia="华文细黑" w:cs="华文细黑"/>
          <w:b/>
          <w:bCs/>
          <w:sz w:val="28"/>
          <w:szCs w:val="28"/>
        </w:rPr>
      </w:pPr>
    </w:p>
    <w:p>
      <w:pPr>
        <w:jc w:val="center"/>
        <w:rPr>
          <w:rFonts w:ascii="华文细黑" w:hAnsi="华文细黑" w:eastAsia="华文细黑" w:cs="华文细黑"/>
          <w:b/>
          <w:bCs/>
          <w:sz w:val="84"/>
          <w:szCs w:val="84"/>
        </w:rPr>
      </w:pPr>
      <w:r>
        <w:rPr>
          <w:rFonts w:hint="eastAsia" w:ascii="华文细黑" w:hAnsi="华文细黑" w:eastAsia="华文细黑" w:cs="华文细黑"/>
          <w:b/>
          <w:bCs/>
          <w:sz w:val="84"/>
          <w:szCs w:val="84"/>
        </w:rPr>
        <w:t>响 应 文 件</w:t>
      </w: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rPr>
          <w:rFonts w:ascii="仿宋_GB2312" w:hAnsi="宋体" w:eastAsia="仿宋_GB2312"/>
        </w:rPr>
      </w:pPr>
    </w:p>
    <w:p>
      <w:pPr>
        <w:ind w:firstLine="640" w:firstLineChars="200"/>
        <w:rPr>
          <w:rFonts w:ascii="华文细黑" w:hAnsi="华文细黑" w:eastAsia="华文细黑" w:cs="华文细黑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单 位 名 称：（签 章）</w:t>
      </w:r>
    </w:p>
    <w:p>
      <w:pPr>
        <w:spacing w:line="400" w:lineRule="exact"/>
        <w:ind w:firstLine="640" w:firstLineChars="200"/>
        <w:rPr>
          <w:rFonts w:ascii="华文细黑" w:hAnsi="华文细黑" w:eastAsia="华文细黑" w:cs="华文细黑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华文细黑" w:hAnsi="华文细黑" w:eastAsia="华文细黑" w:cs="华文细黑"/>
        </w:rPr>
      </w:pPr>
      <w:r>
        <w:rPr>
          <w:rFonts w:hint="eastAsia" w:ascii="华文细黑" w:hAnsi="华文细黑" w:eastAsia="华文细黑" w:cs="华文细黑"/>
          <w:sz w:val="32"/>
          <w:szCs w:val="32"/>
        </w:rPr>
        <w:t>法 定 代 表 人 或 其 委 托 代 理 人：（签 字）</w:t>
      </w:r>
    </w:p>
    <w:p>
      <w:pPr>
        <w:spacing w:line="400" w:lineRule="exact"/>
        <w:jc w:val="center"/>
        <w:rPr>
          <w:rFonts w:ascii="华文细黑" w:hAnsi="华文细黑" w:eastAsia="华文细黑" w:cs="华文细黑"/>
        </w:rPr>
      </w:pPr>
    </w:p>
    <w:p>
      <w:pPr>
        <w:spacing w:line="400" w:lineRule="exact"/>
        <w:jc w:val="center"/>
        <w:rPr>
          <w:rFonts w:ascii="华文细黑" w:hAnsi="华文细黑" w:eastAsia="华文细黑" w:cs="华文细黑"/>
          <w:sz w:val="28"/>
          <w:szCs w:val="28"/>
        </w:rPr>
      </w:pPr>
      <w:r>
        <w:rPr>
          <w:rFonts w:hint="eastAsia" w:ascii="华文细黑" w:hAnsi="华文细黑" w:eastAsia="华文细黑" w:cs="华文细黑"/>
          <w:sz w:val="28"/>
          <w:szCs w:val="28"/>
        </w:rPr>
        <w:t>2023年</w:t>
      </w:r>
      <w:r>
        <w:rPr>
          <w:rFonts w:ascii="华文细黑" w:hAnsi="华文细黑" w:eastAsia="华文细黑" w:cs="华文细黑"/>
          <w:sz w:val="28"/>
          <w:szCs w:val="28"/>
        </w:rPr>
        <w:t xml:space="preserve">   </w:t>
      </w:r>
      <w:r>
        <w:rPr>
          <w:rFonts w:hint="eastAsia" w:ascii="华文细黑" w:hAnsi="华文细黑" w:eastAsia="华文细黑" w:cs="华文细黑"/>
          <w:sz w:val="28"/>
          <w:szCs w:val="28"/>
        </w:rPr>
        <w:t>月</w:t>
      </w:r>
      <w:r>
        <w:rPr>
          <w:rFonts w:ascii="华文细黑" w:hAnsi="华文细黑" w:eastAsia="华文细黑" w:cs="华文细黑"/>
          <w:sz w:val="28"/>
          <w:szCs w:val="28"/>
        </w:rPr>
        <w:t xml:space="preserve">   </w:t>
      </w:r>
      <w:r>
        <w:rPr>
          <w:rFonts w:hint="eastAsia" w:ascii="华文细黑" w:hAnsi="华文细黑" w:eastAsia="华文细黑" w:cs="华文细黑"/>
          <w:sz w:val="28"/>
          <w:szCs w:val="28"/>
        </w:rPr>
        <w:t>日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报价单</w:t>
      </w:r>
    </w:p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报价单位：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496"/>
        <w:gridCol w:w="1517"/>
        <w:gridCol w:w="151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物品名称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规格型号参数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数量（台）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（含税价）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皮卡车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2"/>
        <w:rPr>
          <w:rFonts w:hint="eastAsia"/>
          <w:lang w:val="en-US" w:bidi="ar-SA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>青岛高新城维实业有限公司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本授权委托书于年月日签字生效,特此声明。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</w:t>
      </w:r>
      <w:r>
        <w:rPr>
          <w:rFonts w:hint="eastAsia" w:ascii="仿宋_GB2312" w:hAnsi="仿宋" w:eastAsia="仿宋_GB2312" w:cs="仿宋"/>
          <w:sz w:val="24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单位名称（公章）：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>
      <w:pPr>
        <w:ind w:firstLine="5040" w:firstLineChars="2100"/>
        <w:rPr>
          <w:rFonts w:ascii="仿宋_GB2312" w:hAnsi="仿宋" w:eastAsia="仿宋_GB2312" w:cs="Arial"/>
          <w:sz w:val="24"/>
        </w:rPr>
      </w:pPr>
    </w:p>
    <w:p>
      <w:pPr>
        <w:ind w:firstLine="5040" w:firstLineChars="2100"/>
        <w:rPr>
          <w:rFonts w:ascii="仿宋_GB2312" w:hAnsi="仿宋" w:eastAsia="仿宋_GB2312" w:cs="Arial"/>
          <w:sz w:val="24"/>
        </w:rPr>
      </w:pPr>
    </w:p>
    <w:p>
      <w:pPr>
        <w:ind w:firstLine="5040" w:firstLineChars="2100"/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>日 期：2023年  月  日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</w:rPr>
      </w:pPr>
      <w:r>
        <w:rPr>
          <w:rFonts w:ascii="方正小标宋_GBK" w:hAnsi="Times New Roman" w:eastAsia="方正小标宋_GBK"/>
          <w:sz w:val="32"/>
          <w:szCs w:val="36"/>
        </w:rPr>
        <w:br w:type="page"/>
      </w:r>
    </w:p>
    <w:p>
      <w:pPr>
        <w:pStyle w:val="5"/>
        <w:snapToGrid w:val="0"/>
        <w:spacing w:before="295" w:after="295"/>
        <w:jc w:val="center"/>
        <w:rPr>
          <w:rFonts w:ascii="方正小标宋_GBK" w:hAnsi="Times New Roman" w:eastAsia="方正小标宋_GBK"/>
          <w:sz w:val="32"/>
          <w:szCs w:val="36"/>
        </w:rPr>
      </w:pPr>
      <w:r>
        <w:rPr>
          <w:rFonts w:ascii="方正小标宋_GBK" w:hAnsi="Times New Roman" w:eastAsia="方正小标宋_GBK"/>
          <w:sz w:val="32"/>
          <w:szCs w:val="36"/>
        </w:rPr>
        <w:t>在经营活动中无重大违法记录和行贿犯罪记录的书面声明</w:t>
      </w:r>
    </w:p>
    <w:p>
      <w:pPr>
        <w:spacing w:line="400" w:lineRule="exact"/>
        <w:jc w:val="center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我方在参加（扒胎机和故障电脑采购项目）活动前3年内，我方被公开披露或查处的违法违规行为有：，但在经营活动中：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1、没有重大违法记录（重大违法记录指</w:t>
      </w:r>
      <w:r>
        <w:rPr>
          <w:rFonts w:hint="eastAsia" w:ascii="仿宋" w:hAnsi="仿宋" w:eastAsia="仿宋" w:cs="宋体"/>
          <w:kern w:val="0"/>
          <w:sz w:val="24"/>
        </w:rPr>
        <w:t>投标人因违法经营受到刑事处罚或者责令停产停业、吊销许可证或者执照、较大数额罚款等行政处罚）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2、没有行贿犯罪记录（查询内容：①</w:t>
      </w:r>
      <w:r>
        <w:rPr>
          <w:rFonts w:hint="eastAsia" w:ascii="仿宋" w:hAnsi="仿宋" w:eastAsia="仿宋"/>
          <w:sz w:val="24"/>
          <w:u w:val="single"/>
        </w:rPr>
        <w:t xml:space="preserve">投标人 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u w:val="single"/>
        </w:rPr>
        <w:t xml:space="preserve">组织机构代码证或统一社会信用代码 </w:t>
      </w:r>
      <w:r>
        <w:rPr>
          <w:rFonts w:hint="eastAsia" w:ascii="仿宋" w:hAnsi="仿宋" w:eastAsia="仿宋"/>
          <w:sz w:val="24"/>
        </w:rPr>
        <w:t>；②</w:t>
      </w:r>
      <w:r>
        <w:rPr>
          <w:rFonts w:hint="eastAsia" w:ascii="仿宋" w:hAnsi="仿宋" w:eastAsia="仿宋"/>
          <w:sz w:val="24"/>
          <w:u w:val="single"/>
        </w:rPr>
        <w:t xml:space="preserve">法定代表人、身份证号码 </w:t>
      </w:r>
      <w:r>
        <w:rPr>
          <w:rFonts w:hint="eastAsia" w:ascii="仿宋" w:hAnsi="仿宋" w:eastAsia="仿宋"/>
          <w:sz w:val="24"/>
        </w:rPr>
        <w:t>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以上承诺若与实际情况不符，我方自愿承担一切法律后果。</w:t>
      </w: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</w:rPr>
      </w:pPr>
    </w:p>
    <w:p>
      <w:pPr>
        <w:spacing w:line="400" w:lineRule="exact"/>
        <w:ind w:firstLine="2160" w:firstLineChars="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投标人名称：(公章）</w:t>
      </w:r>
    </w:p>
    <w:p>
      <w:pPr>
        <w:spacing w:line="400" w:lineRule="exact"/>
        <w:ind w:firstLine="4080" w:firstLineChars="1700"/>
        <w:rPr>
          <w:rFonts w:ascii="仿宋" w:hAnsi="仿宋" w:eastAsia="仿宋"/>
          <w:kern w:val="1"/>
          <w:sz w:val="24"/>
        </w:rPr>
      </w:pPr>
    </w:p>
    <w:p>
      <w:pPr>
        <w:ind w:firstLine="3600" w:firstLineChars="1500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/>
          <w:sz w:val="24"/>
        </w:rPr>
        <w:t>日      期：</w:t>
      </w:r>
      <w:r>
        <w:rPr>
          <w:rFonts w:hint="eastAsia" w:ascii="仿宋_GB2312" w:hAnsi="仿宋" w:eastAsia="仿宋_GB2312" w:cs="Arial"/>
          <w:sz w:val="24"/>
        </w:rPr>
        <w:t>2023年  月   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备注：1.投标人没有被公开披露或查处违法违规行为的，注明“无”即可。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2.采购文件未要求项目负责人的，项目负责人一栏可删除。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74BEB"/>
    <w:multiLevelType w:val="multilevel"/>
    <w:tmpl w:val="4E474BEB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6C3DAA"/>
    <w:rsid w:val="00012E22"/>
    <w:rsid w:val="000C4AFD"/>
    <w:rsid w:val="000F32DF"/>
    <w:rsid w:val="00110210"/>
    <w:rsid w:val="001106EF"/>
    <w:rsid w:val="00126966"/>
    <w:rsid w:val="001645F4"/>
    <w:rsid w:val="00241320"/>
    <w:rsid w:val="00243D08"/>
    <w:rsid w:val="00243D4A"/>
    <w:rsid w:val="00245B14"/>
    <w:rsid w:val="002C7B61"/>
    <w:rsid w:val="002F0719"/>
    <w:rsid w:val="003276FD"/>
    <w:rsid w:val="00357F6B"/>
    <w:rsid w:val="003721D8"/>
    <w:rsid w:val="003A6C34"/>
    <w:rsid w:val="003C3CE0"/>
    <w:rsid w:val="003E7257"/>
    <w:rsid w:val="004161D4"/>
    <w:rsid w:val="0042708B"/>
    <w:rsid w:val="00486884"/>
    <w:rsid w:val="00490344"/>
    <w:rsid w:val="004C255A"/>
    <w:rsid w:val="004D532C"/>
    <w:rsid w:val="00510DAE"/>
    <w:rsid w:val="00527420"/>
    <w:rsid w:val="0056117C"/>
    <w:rsid w:val="00575266"/>
    <w:rsid w:val="0058071E"/>
    <w:rsid w:val="005B2971"/>
    <w:rsid w:val="005D7DF2"/>
    <w:rsid w:val="005F25A1"/>
    <w:rsid w:val="0060049F"/>
    <w:rsid w:val="006060B2"/>
    <w:rsid w:val="00617648"/>
    <w:rsid w:val="0062339D"/>
    <w:rsid w:val="00643D0F"/>
    <w:rsid w:val="0065106F"/>
    <w:rsid w:val="0065282A"/>
    <w:rsid w:val="00691E4A"/>
    <w:rsid w:val="006A4CCF"/>
    <w:rsid w:val="006A5110"/>
    <w:rsid w:val="006C3DAA"/>
    <w:rsid w:val="006C7AE3"/>
    <w:rsid w:val="00777C2B"/>
    <w:rsid w:val="007F45A1"/>
    <w:rsid w:val="007F5B12"/>
    <w:rsid w:val="008346AB"/>
    <w:rsid w:val="00844993"/>
    <w:rsid w:val="008635B5"/>
    <w:rsid w:val="008B019B"/>
    <w:rsid w:val="008B1A29"/>
    <w:rsid w:val="008E7032"/>
    <w:rsid w:val="00913A28"/>
    <w:rsid w:val="00916ABC"/>
    <w:rsid w:val="00923EFA"/>
    <w:rsid w:val="009320E2"/>
    <w:rsid w:val="00971F8B"/>
    <w:rsid w:val="00A25C63"/>
    <w:rsid w:val="00A73AD5"/>
    <w:rsid w:val="00AA7187"/>
    <w:rsid w:val="00AB533A"/>
    <w:rsid w:val="00AE3A2A"/>
    <w:rsid w:val="00B12193"/>
    <w:rsid w:val="00B17B39"/>
    <w:rsid w:val="00B26E39"/>
    <w:rsid w:val="00B326CE"/>
    <w:rsid w:val="00B84C01"/>
    <w:rsid w:val="00B9383A"/>
    <w:rsid w:val="00BA2370"/>
    <w:rsid w:val="00BB47CA"/>
    <w:rsid w:val="00BC566B"/>
    <w:rsid w:val="00C1269D"/>
    <w:rsid w:val="00C501ED"/>
    <w:rsid w:val="00C5176A"/>
    <w:rsid w:val="00C548D3"/>
    <w:rsid w:val="00C76E65"/>
    <w:rsid w:val="00C801A5"/>
    <w:rsid w:val="00CA6784"/>
    <w:rsid w:val="00CB332B"/>
    <w:rsid w:val="00CC2AE8"/>
    <w:rsid w:val="00DC0779"/>
    <w:rsid w:val="00E144C0"/>
    <w:rsid w:val="00E452BA"/>
    <w:rsid w:val="00E876DD"/>
    <w:rsid w:val="00EA6E54"/>
    <w:rsid w:val="00EB0CE6"/>
    <w:rsid w:val="00ED674B"/>
    <w:rsid w:val="00EF67EA"/>
    <w:rsid w:val="00F24509"/>
    <w:rsid w:val="00F364BF"/>
    <w:rsid w:val="00F856F9"/>
    <w:rsid w:val="00FD0811"/>
    <w:rsid w:val="00FD3663"/>
    <w:rsid w:val="03EC4AD0"/>
    <w:rsid w:val="041E163A"/>
    <w:rsid w:val="045F36F2"/>
    <w:rsid w:val="04E90B34"/>
    <w:rsid w:val="09AD03A9"/>
    <w:rsid w:val="09E57B43"/>
    <w:rsid w:val="0A37288D"/>
    <w:rsid w:val="0ADF27E4"/>
    <w:rsid w:val="0B21104E"/>
    <w:rsid w:val="0C2E2E89"/>
    <w:rsid w:val="0D927FE1"/>
    <w:rsid w:val="0F807141"/>
    <w:rsid w:val="0FDF6DE2"/>
    <w:rsid w:val="101E407A"/>
    <w:rsid w:val="10233173"/>
    <w:rsid w:val="1245034F"/>
    <w:rsid w:val="17D92E60"/>
    <w:rsid w:val="18616511"/>
    <w:rsid w:val="19A70DC1"/>
    <w:rsid w:val="19CA098E"/>
    <w:rsid w:val="1A8E1EE2"/>
    <w:rsid w:val="1F465859"/>
    <w:rsid w:val="21C57352"/>
    <w:rsid w:val="256B319A"/>
    <w:rsid w:val="25DE4BB5"/>
    <w:rsid w:val="26F172D2"/>
    <w:rsid w:val="2800098A"/>
    <w:rsid w:val="2829437F"/>
    <w:rsid w:val="2A1C2CB5"/>
    <w:rsid w:val="2A9E191C"/>
    <w:rsid w:val="2D0F706C"/>
    <w:rsid w:val="307B44AD"/>
    <w:rsid w:val="33181265"/>
    <w:rsid w:val="37B012D3"/>
    <w:rsid w:val="3B8663EF"/>
    <w:rsid w:val="3BF46D6D"/>
    <w:rsid w:val="3E653CDC"/>
    <w:rsid w:val="3F04740B"/>
    <w:rsid w:val="409F0845"/>
    <w:rsid w:val="41540B2E"/>
    <w:rsid w:val="45FC138A"/>
    <w:rsid w:val="48166B3E"/>
    <w:rsid w:val="4ABB1C1E"/>
    <w:rsid w:val="4C107D48"/>
    <w:rsid w:val="4F457D08"/>
    <w:rsid w:val="4FB068BC"/>
    <w:rsid w:val="501E69EC"/>
    <w:rsid w:val="53ED1090"/>
    <w:rsid w:val="56537AC2"/>
    <w:rsid w:val="570B22BE"/>
    <w:rsid w:val="583D1EC5"/>
    <w:rsid w:val="596A0A97"/>
    <w:rsid w:val="5B5822F3"/>
    <w:rsid w:val="5BF46D3E"/>
    <w:rsid w:val="5D552873"/>
    <w:rsid w:val="605812B2"/>
    <w:rsid w:val="60C43183"/>
    <w:rsid w:val="615750D5"/>
    <w:rsid w:val="61685DD5"/>
    <w:rsid w:val="625C03DC"/>
    <w:rsid w:val="6458306C"/>
    <w:rsid w:val="67D36157"/>
    <w:rsid w:val="68873690"/>
    <w:rsid w:val="6AC8362B"/>
    <w:rsid w:val="6D6A015B"/>
    <w:rsid w:val="6DEC2E0B"/>
    <w:rsid w:val="6EE963F7"/>
    <w:rsid w:val="6F0977D9"/>
    <w:rsid w:val="704A2CEB"/>
    <w:rsid w:val="720011E6"/>
    <w:rsid w:val="743902F3"/>
    <w:rsid w:val="752F054B"/>
    <w:rsid w:val="760F765D"/>
    <w:rsid w:val="76A85743"/>
    <w:rsid w:val="7CC3033B"/>
    <w:rsid w:val="7E93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outlineLvl w:val="1"/>
    </w:pPr>
    <w:rPr>
      <w:rFonts w:ascii="Arial" w:hAnsi="Arial" w:eastAsia="黑体"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398"/>
    </w:pPr>
    <w:rPr>
      <w:rFonts w:ascii="仿宋" w:hAnsi="仿宋" w:eastAsia="仿宋" w:cs="仿宋"/>
      <w:sz w:val="24"/>
      <w:szCs w:val="24"/>
      <w:lang w:val="zh-CN" w:bidi="zh-CN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宋体" w:cs="宋体"/>
      <w:sz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纯文本 字符"/>
    <w:link w:val="5"/>
    <w:qFormat/>
    <w:uiPriority w:val="0"/>
    <w:rPr>
      <w:rFonts w:ascii="宋体" w:hAnsi="Courier New" w:eastAsia="宋体" w:cs="宋体"/>
      <w:sz w:val="24"/>
    </w:rPr>
  </w:style>
  <w:style w:type="character" w:customStyle="1" w:styleId="19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标题 2 字符"/>
    <w:basedOn w:val="11"/>
    <w:link w:val="4"/>
    <w:qFormat/>
    <w:uiPriority w:val="0"/>
    <w:rPr>
      <w:rFonts w:ascii="Arial" w:hAnsi="Arial" w:eastAsia="黑体" w:cstheme="minorBidi"/>
      <w:bCs/>
      <w:kern w:val="2"/>
      <w:sz w:val="21"/>
      <w:szCs w:val="32"/>
    </w:rPr>
  </w:style>
  <w:style w:type="character" w:customStyle="1" w:styleId="22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23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2983</Words>
  <Characters>3205</Characters>
  <Lines>25</Lines>
  <Paragraphs>7</Paragraphs>
  <TotalTime>58</TotalTime>
  <ScaleCrop>false</ScaleCrop>
  <LinksUpToDate>false</LinksUpToDate>
  <CharactersWithSpaces>3323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2023-05-05T06:20:00Z</dcterms:created>
  <dc:creator>fanggsyyglb</dc:creator>
  <cp:lastModifiedBy>陌上&amp;花开</cp:lastModifiedBy>
  <cp:lastPrinted>2022-10-25T03:22:00Z</cp:lastPrinted>
  <dcterms:modified xsi:type="dcterms:W3CDTF">2023-06-13T05:58:20Z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70758318E04545C4BC6D52FE5A8F86BD_13</vt:lpwstr>
  </property>
</Properties>
</file>