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sz w:val="32"/>
          <w:szCs w:val="32"/>
        </w:rPr>
      </w:pPr>
      <w:bookmarkStart w:id="0" w:name="_Toc134452747"/>
      <w:bookmarkStart w:id="1" w:name="_Toc144538986"/>
      <w:r>
        <w:rPr>
          <w:rFonts w:hint="eastAsia" w:ascii="黑体" w:hAnsi="黑体" w:eastAsia="黑体"/>
          <w:sz w:val="32"/>
          <w:szCs w:val="32"/>
        </w:rPr>
        <w:t>采购公告</w:t>
      </w:r>
      <w:bookmarkEnd w:id="0"/>
      <w:bookmarkEnd w:id="1"/>
    </w:p>
    <w:p>
      <w:pPr>
        <w:pStyle w:val="16"/>
        <w:rPr>
          <w:rFonts w:ascii="仿宋" w:hAnsi="仿宋" w:eastAsia="仿宋"/>
          <w:sz w:val="28"/>
          <w:szCs w:val="28"/>
        </w:rPr>
      </w:pPr>
      <w:r>
        <w:rPr>
          <w:rFonts w:hint="eastAsia" w:ascii="仿宋" w:hAnsi="仿宋" w:eastAsia="仿宋"/>
          <w:sz w:val="28"/>
          <w:szCs w:val="28"/>
        </w:rPr>
        <w:t xml:space="preserve">    我公司现对高实雅苑项目电力配套工程电缆材料、高低压柜等工程材料（设备）进行采购，欢迎符合条件的供应商参加，具体要求如下：</w:t>
      </w:r>
    </w:p>
    <w:p>
      <w:pPr>
        <w:pStyle w:val="16"/>
        <w:rPr>
          <w:rFonts w:ascii="仿宋" w:hAnsi="仿宋" w:eastAsia="仿宋"/>
          <w:sz w:val="28"/>
          <w:szCs w:val="28"/>
        </w:rPr>
      </w:pPr>
      <w:r>
        <w:rPr>
          <w:rFonts w:hint="eastAsia" w:ascii="仿宋" w:hAnsi="仿宋" w:eastAsia="仿宋"/>
          <w:sz w:val="28"/>
          <w:szCs w:val="28"/>
        </w:rPr>
        <w:t xml:space="preserve">    1.项目名称：高实雅苑项目电力配套工程电缆材料、高低压柜等工程材料（设备）采购。</w:t>
      </w:r>
    </w:p>
    <w:p>
      <w:pPr>
        <w:pStyle w:val="16"/>
        <w:rPr>
          <w:rFonts w:ascii="仿宋" w:hAnsi="仿宋" w:eastAsia="仿宋"/>
          <w:sz w:val="28"/>
          <w:szCs w:val="28"/>
        </w:rPr>
      </w:pPr>
      <w:r>
        <w:rPr>
          <w:rFonts w:hint="eastAsia" w:ascii="仿宋" w:hAnsi="仿宋" w:eastAsia="仿宋"/>
          <w:sz w:val="28"/>
          <w:szCs w:val="28"/>
        </w:rPr>
        <w:t xml:space="preserve">    2.项目地点：需方指定地点。</w:t>
      </w:r>
    </w:p>
    <w:p>
      <w:pPr>
        <w:pStyle w:val="16"/>
        <w:rPr>
          <w:rFonts w:ascii="仿宋" w:hAnsi="仿宋" w:eastAsia="仿宋"/>
          <w:sz w:val="28"/>
          <w:szCs w:val="28"/>
        </w:rPr>
      </w:pPr>
      <w:r>
        <w:rPr>
          <w:rFonts w:hint="eastAsia" w:ascii="仿宋" w:hAnsi="仿宋" w:eastAsia="仿宋"/>
          <w:sz w:val="28"/>
          <w:szCs w:val="28"/>
        </w:rPr>
        <w:t xml:space="preserve">    3.采购内容：详见第三章采购需求。</w:t>
      </w:r>
    </w:p>
    <w:p>
      <w:pPr>
        <w:pStyle w:val="16"/>
        <w:ind w:firstLine="552"/>
        <w:rPr>
          <w:rFonts w:ascii="仿宋" w:hAnsi="仿宋" w:eastAsia="仿宋"/>
          <w:sz w:val="28"/>
          <w:szCs w:val="28"/>
        </w:rPr>
      </w:pPr>
      <w:r>
        <w:rPr>
          <w:rFonts w:hint="eastAsia" w:ascii="仿宋" w:hAnsi="仿宋" w:eastAsia="仿宋"/>
          <w:sz w:val="28"/>
          <w:szCs w:val="28"/>
        </w:rPr>
        <w:t>4.采购控制价（含税价，增值税税率为13%）：</w:t>
      </w:r>
    </w:p>
    <w:p>
      <w:pPr>
        <w:pStyle w:val="16"/>
        <w:ind w:firstLine="552"/>
        <w:rPr>
          <w:rFonts w:ascii="仿宋" w:hAnsi="仿宋" w:eastAsia="仿宋"/>
          <w:sz w:val="28"/>
          <w:szCs w:val="28"/>
        </w:rPr>
      </w:pPr>
      <w:r>
        <w:rPr>
          <w:rFonts w:hint="eastAsia" w:ascii="仿宋" w:hAnsi="仿宋" w:eastAsia="仿宋"/>
          <w:sz w:val="28"/>
          <w:szCs w:val="28"/>
        </w:rPr>
        <w:t>第一包：电力电缆，采购控制价：5549844.64元。详见第三章附录采购清单控制价;</w:t>
      </w:r>
    </w:p>
    <w:p>
      <w:pPr>
        <w:pStyle w:val="16"/>
        <w:ind w:firstLine="552"/>
        <w:rPr>
          <w:rFonts w:ascii="仿宋" w:hAnsi="仿宋" w:eastAsia="仿宋"/>
          <w:sz w:val="28"/>
          <w:szCs w:val="28"/>
        </w:rPr>
      </w:pPr>
      <w:r>
        <w:rPr>
          <w:rFonts w:hint="eastAsia" w:ascii="仿宋" w:hAnsi="仿宋" w:eastAsia="仿宋"/>
          <w:sz w:val="28"/>
          <w:szCs w:val="28"/>
        </w:rPr>
        <w:t>第二包：高低压柜设备，采购控制价：3230186.05元。详见第三章附录采购清单控制价。</w:t>
      </w:r>
    </w:p>
    <w:p>
      <w:pPr>
        <w:pStyle w:val="16"/>
        <w:rPr>
          <w:rFonts w:ascii="仿宋" w:hAnsi="仿宋" w:eastAsia="仿宋"/>
          <w:sz w:val="28"/>
          <w:szCs w:val="28"/>
        </w:rPr>
      </w:pPr>
      <w:r>
        <w:rPr>
          <w:rFonts w:hint="eastAsia" w:ascii="仿宋" w:hAnsi="仿宋" w:eastAsia="仿宋"/>
          <w:sz w:val="28"/>
          <w:szCs w:val="28"/>
        </w:rPr>
        <w:t xml:space="preserve">    5.供应商资格要求</w:t>
      </w:r>
    </w:p>
    <w:p>
      <w:pPr>
        <w:pStyle w:val="16"/>
        <w:rPr>
          <w:rFonts w:ascii="仿宋" w:hAnsi="仿宋" w:eastAsia="仿宋" w:cs="宋体"/>
          <w:bCs/>
          <w:sz w:val="28"/>
          <w:szCs w:val="28"/>
        </w:rPr>
      </w:pPr>
      <w:r>
        <w:rPr>
          <w:rFonts w:hint="eastAsia" w:ascii="仿宋" w:hAnsi="仿宋" w:eastAsia="仿宋" w:cs="宋体"/>
          <w:bCs/>
          <w:sz w:val="28"/>
          <w:szCs w:val="28"/>
        </w:rPr>
        <w:t xml:space="preserve">    5.1供应商必须具有独立法人资格,各供应商不得有企业关联或股权关系。</w:t>
      </w:r>
    </w:p>
    <w:p>
      <w:pPr>
        <w:pStyle w:val="16"/>
        <w:rPr>
          <w:rFonts w:ascii="仿宋" w:hAnsi="仿宋" w:eastAsia="仿宋" w:cs="宋体"/>
          <w:bCs/>
          <w:sz w:val="28"/>
          <w:szCs w:val="28"/>
        </w:rPr>
      </w:pPr>
      <w:r>
        <w:rPr>
          <w:rFonts w:hint="eastAsia" w:ascii="仿宋" w:hAnsi="仿宋" w:eastAsia="仿宋" w:cs="宋体"/>
          <w:bCs/>
          <w:sz w:val="28"/>
          <w:szCs w:val="28"/>
        </w:rPr>
        <w:t xml:space="preserve">    5.2供应商必须具备相关营业资格,所生产的产品必须符合国家、行业标准相关要求，相关主材、设备必须具备国家认可的型式试验报告，并在人员、设备、技术、资金等方面具备相应的能力。</w:t>
      </w:r>
    </w:p>
    <w:p>
      <w:pPr>
        <w:pStyle w:val="16"/>
        <w:rPr>
          <w:rFonts w:ascii="仿宋" w:hAnsi="仿宋" w:eastAsia="仿宋" w:cs="宋体"/>
          <w:bCs/>
          <w:sz w:val="28"/>
          <w:szCs w:val="28"/>
        </w:rPr>
      </w:pPr>
      <w:r>
        <w:rPr>
          <w:rFonts w:hint="eastAsia" w:ascii="仿宋" w:hAnsi="仿宋" w:eastAsia="仿宋" w:cs="宋体"/>
          <w:bCs/>
          <w:sz w:val="28"/>
          <w:szCs w:val="28"/>
        </w:rPr>
        <w:t xml:space="preserve">    5.3采购公告发布之日前三年内无行贿犯罪等重大违法记录。</w:t>
      </w:r>
    </w:p>
    <w:p>
      <w:pPr>
        <w:pStyle w:val="16"/>
        <w:rPr>
          <w:rFonts w:ascii="仿宋" w:hAnsi="仿宋" w:eastAsia="仿宋" w:cs="宋体"/>
          <w:bCs/>
          <w:sz w:val="28"/>
          <w:szCs w:val="28"/>
        </w:rPr>
      </w:pPr>
      <w:bookmarkStart w:id="2" w:name="_Toc521332562"/>
      <w:r>
        <w:rPr>
          <w:rFonts w:hint="eastAsia" w:ascii="仿宋" w:hAnsi="仿宋" w:eastAsia="仿宋" w:cs="宋体"/>
          <w:bCs/>
          <w:sz w:val="28"/>
          <w:szCs w:val="28"/>
        </w:rPr>
        <w:t xml:space="preserve">    5.4通过“信用中国”网站（www.creditchina.gov.cn）、中国政府采购网（www.ccgp.gov.cn）查询，未被列入失信被执行人、重大税收违法案件当事人、政府采购严重违法失信行为记录名单。</w:t>
      </w:r>
    </w:p>
    <w:bookmarkEnd w:id="2"/>
    <w:p>
      <w:pPr>
        <w:pStyle w:val="16"/>
        <w:rPr>
          <w:rFonts w:ascii="仿宋" w:hAnsi="仿宋" w:eastAsia="仿宋"/>
          <w:sz w:val="28"/>
          <w:szCs w:val="28"/>
        </w:rPr>
      </w:pPr>
      <w:r>
        <w:rPr>
          <w:rFonts w:hint="eastAsia" w:ascii="仿宋" w:hAnsi="仿宋" w:eastAsia="仿宋"/>
          <w:sz w:val="28"/>
          <w:szCs w:val="28"/>
        </w:rPr>
        <w:t xml:space="preserve">    6.资格预审及采购文件的获取</w:t>
      </w:r>
    </w:p>
    <w:p>
      <w:pPr>
        <w:pStyle w:val="16"/>
        <w:rPr>
          <w:rFonts w:ascii="仿宋" w:hAnsi="仿宋" w:eastAsia="仿宋"/>
          <w:color w:val="0000FF"/>
          <w:sz w:val="28"/>
          <w:szCs w:val="28"/>
        </w:rPr>
      </w:pPr>
      <w:r>
        <w:rPr>
          <w:rFonts w:hint="eastAsia" w:ascii="仿宋" w:hAnsi="仿宋" w:eastAsia="仿宋"/>
          <w:sz w:val="28"/>
          <w:szCs w:val="28"/>
        </w:rPr>
        <w:t xml:space="preserve">    6.1截止时间：2023年9月13 日12时00分。</w:t>
      </w:r>
    </w:p>
    <w:p>
      <w:pPr>
        <w:pStyle w:val="16"/>
        <w:rPr>
          <w:rFonts w:ascii="仿宋" w:hAnsi="仿宋" w:eastAsia="仿宋"/>
          <w:sz w:val="28"/>
          <w:szCs w:val="28"/>
        </w:rPr>
      </w:pPr>
      <w:r>
        <w:rPr>
          <w:rFonts w:hint="eastAsia" w:ascii="仿宋" w:hAnsi="仿宋" w:eastAsia="仿宋"/>
          <w:sz w:val="28"/>
          <w:szCs w:val="28"/>
        </w:rPr>
        <w:t xml:space="preserve">    6.2预审方式：供应商将资格审查所需材料附在一个文档里，在截止时间前发送至邮箱：gaoxinshuidian@163.com。邮件标题为供应商名称+项目名称，正文备注联系人、联系方式、采购文件接收邮箱地址。</w:t>
      </w:r>
      <w:r>
        <w:rPr>
          <w:rStyle w:val="48"/>
          <w:rFonts w:hint="eastAsia" w:ascii="仿宋" w:hAnsi="仿宋" w:eastAsia="仿宋" w:cs="仿宋"/>
          <w:szCs w:val="28"/>
        </w:rPr>
        <w:t>由采购人受理后，通过邮箱向供应商发放采购文件。</w:t>
      </w:r>
    </w:p>
    <w:p>
      <w:pPr>
        <w:pStyle w:val="16"/>
        <w:rPr>
          <w:rFonts w:ascii="仿宋" w:hAnsi="仿宋" w:eastAsia="仿宋"/>
          <w:sz w:val="28"/>
          <w:szCs w:val="28"/>
        </w:rPr>
      </w:pPr>
      <w:r>
        <w:rPr>
          <w:rFonts w:hint="eastAsia" w:ascii="仿宋" w:hAnsi="仿宋" w:eastAsia="仿宋"/>
          <w:sz w:val="28"/>
          <w:szCs w:val="28"/>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产品合格证明等材料，以上材料均需加盖供应商公章。</w:t>
      </w:r>
    </w:p>
    <w:p>
      <w:pPr>
        <w:pStyle w:val="16"/>
        <w:rPr>
          <w:rFonts w:ascii="仿宋" w:hAnsi="仿宋" w:eastAsia="仿宋"/>
          <w:sz w:val="28"/>
          <w:szCs w:val="28"/>
        </w:rPr>
      </w:pPr>
      <w:r>
        <w:rPr>
          <w:rFonts w:hint="eastAsia" w:ascii="仿宋" w:hAnsi="仿宋" w:eastAsia="仿宋"/>
          <w:sz w:val="28"/>
          <w:szCs w:val="28"/>
        </w:rPr>
        <w:t xml:space="preserve">    7.响应文件递交时间以及地点</w:t>
      </w:r>
    </w:p>
    <w:p>
      <w:pPr>
        <w:pStyle w:val="16"/>
        <w:rPr>
          <w:rFonts w:ascii="仿宋" w:hAnsi="仿宋" w:eastAsia="仿宋"/>
          <w:sz w:val="28"/>
          <w:szCs w:val="28"/>
        </w:rPr>
      </w:pPr>
      <w:r>
        <w:rPr>
          <w:rFonts w:hint="eastAsia" w:ascii="仿宋" w:hAnsi="仿宋" w:eastAsia="仿宋"/>
          <w:sz w:val="28"/>
          <w:szCs w:val="28"/>
        </w:rPr>
        <w:t xml:space="preserve">    7.1时间：</w:t>
      </w:r>
    </w:p>
    <w:p>
      <w:pPr>
        <w:pStyle w:val="16"/>
        <w:rPr>
          <w:rFonts w:ascii="仿宋" w:hAnsi="仿宋" w:eastAsia="仿宋"/>
          <w:sz w:val="28"/>
          <w:szCs w:val="28"/>
        </w:rPr>
      </w:pPr>
      <w:r>
        <w:rPr>
          <w:rFonts w:hint="eastAsia" w:ascii="仿宋" w:hAnsi="仿宋" w:eastAsia="仿宋"/>
          <w:sz w:val="28"/>
          <w:szCs w:val="28"/>
        </w:rPr>
        <w:t xml:space="preserve">    第一包:电力电缆，2023年9月 18日8时00分至8时30分。</w:t>
      </w:r>
    </w:p>
    <w:p>
      <w:pPr>
        <w:pStyle w:val="16"/>
        <w:rPr>
          <w:rFonts w:ascii="仿宋" w:hAnsi="仿宋" w:eastAsia="仿宋"/>
          <w:sz w:val="28"/>
          <w:szCs w:val="28"/>
        </w:rPr>
      </w:pPr>
      <w:r>
        <w:rPr>
          <w:rFonts w:hint="eastAsia" w:ascii="仿宋" w:hAnsi="仿宋" w:eastAsia="仿宋"/>
          <w:sz w:val="28"/>
          <w:szCs w:val="28"/>
        </w:rPr>
        <w:t xml:space="preserve">    第二包：高低压柜设备，2023年9月18日13时30分至14时00分。</w:t>
      </w:r>
    </w:p>
    <w:p>
      <w:pPr>
        <w:pStyle w:val="16"/>
        <w:rPr>
          <w:rFonts w:ascii="仿宋" w:hAnsi="仿宋" w:eastAsia="仿宋"/>
          <w:sz w:val="28"/>
          <w:szCs w:val="28"/>
        </w:rPr>
      </w:pPr>
      <w:r>
        <w:rPr>
          <w:rFonts w:hint="eastAsia" w:ascii="仿宋" w:hAnsi="仿宋" w:eastAsia="仿宋"/>
          <w:sz w:val="28"/>
          <w:szCs w:val="28"/>
        </w:rPr>
        <w:t xml:space="preserve">    7.2地点：青岛高新区河东路以北、岙东路以东高新电力4楼会议室。</w:t>
      </w:r>
    </w:p>
    <w:p>
      <w:pPr>
        <w:pStyle w:val="16"/>
        <w:rPr>
          <w:rFonts w:ascii="仿宋" w:hAnsi="仿宋" w:eastAsia="仿宋"/>
          <w:sz w:val="28"/>
          <w:szCs w:val="28"/>
        </w:rPr>
      </w:pPr>
      <w:r>
        <w:rPr>
          <w:rFonts w:hint="eastAsia" w:ascii="仿宋" w:hAnsi="仿宋" w:eastAsia="仿宋"/>
          <w:sz w:val="28"/>
          <w:szCs w:val="28"/>
        </w:rPr>
        <w:t xml:space="preserve">    8.磋商时间以及地点</w:t>
      </w:r>
    </w:p>
    <w:p>
      <w:pPr>
        <w:pStyle w:val="16"/>
        <w:rPr>
          <w:rFonts w:ascii="仿宋" w:hAnsi="仿宋" w:eastAsia="仿宋"/>
          <w:sz w:val="28"/>
          <w:szCs w:val="28"/>
        </w:rPr>
      </w:pPr>
      <w:r>
        <w:rPr>
          <w:rFonts w:hint="eastAsia" w:ascii="仿宋" w:hAnsi="仿宋" w:eastAsia="仿宋"/>
          <w:sz w:val="28"/>
          <w:szCs w:val="28"/>
        </w:rPr>
        <w:t xml:space="preserve">    8.1时间：</w:t>
      </w:r>
    </w:p>
    <w:p>
      <w:pPr>
        <w:pStyle w:val="16"/>
        <w:rPr>
          <w:rFonts w:ascii="仿宋" w:hAnsi="仿宋" w:eastAsia="仿宋"/>
          <w:sz w:val="28"/>
          <w:szCs w:val="28"/>
        </w:rPr>
      </w:pPr>
      <w:r>
        <w:rPr>
          <w:rFonts w:hint="eastAsia" w:ascii="仿宋" w:hAnsi="仿宋" w:eastAsia="仿宋"/>
          <w:sz w:val="28"/>
          <w:szCs w:val="28"/>
        </w:rPr>
        <w:t xml:space="preserve">    第一包:电力电缆，2023年9月 18日8时30分。</w:t>
      </w:r>
    </w:p>
    <w:p>
      <w:pPr>
        <w:pStyle w:val="16"/>
        <w:rPr>
          <w:rFonts w:ascii="仿宋" w:hAnsi="仿宋" w:eastAsia="仿宋"/>
          <w:sz w:val="28"/>
          <w:szCs w:val="28"/>
        </w:rPr>
      </w:pPr>
      <w:r>
        <w:rPr>
          <w:rFonts w:hint="eastAsia" w:ascii="仿宋" w:hAnsi="仿宋" w:eastAsia="仿宋"/>
          <w:sz w:val="28"/>
          <w:szCs w:val="28"/>
        </w:rPr>
        <w:t xml:space="preserve">    第二包：高低压柜设备，2023年9月18日14时00分。</w:t>
      </w:r>
    </w:p>
    <w:p>
      <w:pPr>
        <w:pStyle w:val="16"/>
        <w:rPr>
          <w:rFonts w:ascii="仿宋" w:hAnsi="仿宋" w:eastAsia="仿宋"/>
          <w:sz w:val="28"/>
          <w:szCs w:val="28"/>
        </w:rPr>
      </w:pPr>
      <w:r>
        <w:rPr>
          <w:rFonts w:hint="eastAsia" w:ascii="仿宋" w:hAnsi="仿宋" w:eastAsia="仿宋"/>
          <w:sz w:val="28"/>
          <w:szCs w:val="28"/>
        </w:rPr>
        <w:t xml:space="preserve">    8.2地点：青岛高新区河东路以北、岙东路以东高新电力4楼会议室。</w:t>
      </w:r>
    </w:p>
    <w:p>
      <w:pPr>
        <w:pStyle w:val="16"/>
        <w:rPr>
          <w:rFonts w:ascii="仿宋" w:hAnsi="仿宋" w:eastAsia="仿宋"/>
          <w:sz w:val="28"/>
          <w:szCs w:val="28"/>
        </w:rPr>
      </w:pPr>
      <w:r>
        <w:rPr>
          <w:rFonts w:hint="eastAsia" w:ascii="仿宋" w:hAnsi="仿宋" w:eastAsia="仿宋"/>
          <w:sz w:val="28"/>
          <w:szCs w:val="28"/>
        </w:rPr>
        <w:t xml:space="preserve">    9.联系方式</w:t>
      </w:r>
    </w:p>
    <w:p>
      <w:pPr>
        <w:pStyle w:val="16"/>
        <w:rPr>
          <w:rFonts w:ascii="仿宋" w:hAnsi="仿宋" w:eastAsia="仿宋"/>
          <w:sz w:val="28"/>
          <w:szCs w:val="28"/>
        </w:rPr>
      </w:pPr>
      <w:r>
        <w:rPr>
          <w:rFonts w:hint="eastAsia" w:ascii="仿宋" w:hAnsi="仿宋" w:eastAsia="仿宋"/>
          <w:sz w:val="28"/>
          <w:szCs w:val="28"/>
        </w:rPr>
        <w:t xml:space="preserve">    9.1采购人：青岛高新电力发展有限公司</w:t>
      </w:r>
    </w:p>
    <w:p>
      <w:pPr>
        <w:pStyle w:val="16"/>
        <w:rPr>
          <w:rFonts w:ascii="仿宋" w:hAnsi="仿宋" w:eastAsia="仿宋"/>
          <w:sz w:val="28"/>
          <w:szCs w:val="28"/>
        </w:rPr>
      </w:pPr>
      <w:r>
        <w:rPr>
          <w:rFonts w:hint="eastAsia" w:ascii="仿宋" w:hAnsi="仿宋" w:eastAsia="仿宋"/>
          <w:sz w:val="28"/>
          <w:szCs w:val="28"/>
        </w:rPr>
        <w:t xml:space="preserve">    联 系 人：纪虹延</w:t>
      </w:r>
    </w:p>
    <w:p>
      <w:pPr>
        <w:pStyle w:val="16"/>
        <w:rPr>
          <w:rFonts w:ascii="仿宋" w:hAnsi="仿宋" w:eastAsia="仿宋"/>
          <w:sz w:val="28"/>
          <w:szCs w:val="28"/>
        </w:rPr>
      </w:pPr>
      <w:r>
        <w:rPr>
          <w:rFonts w:hint="eastAsia" w:ascii="仿宋" w:hAnsi="仿宋" w:eastAsia="仿宋"/>
          <w:sz w:val="28"/>
          <w:szCs w:val="28"/>
        </w:rPr>
        <w:t xml:space="preserve">    电    话：0532-68687097</w:t>
      </w:r>
    </w:p>
    <w:p>
      <w:pPr>
        <w:pStyle w:val="16"/>
        <w:rPr>
          <w:rFonts w:ascii="仿宋" w:hAnsi="仿宋" w:eastAsia="仿宋"/>
          <w:sz w:val="28"/>
          <w:szCs w:val="28"/>
        </w:rPr>
      </w:pPr>
      <w:r>
        <w:rPr>
          <w:rFonts w:hint="eastAsia" w:ascii="仿宋" w:hAnsi="仿宋" w:eastAsia="仿宋"/>
          <w:sz w:val="28"/>
          <w:szCs w:val="28"/>
        </w:rPr>
        <w:t xml:space="preserve">    地    址：青岛高新区河东路以北、岙东路以东</w:t>
      </w:r>
    </w:p>
    <w:p>
      <w:pPr>
        <w:pStyle w:val="16"/>
        <w:rPr>
          <w:rFonts w:ascii="仿宋" w:hAnsi="仿宋" w:eastAsia="仿宋"/>
          <w:sz w:val="28"/>
          <w:szCs w:val="28"/>
        </w:rPr>
      </w:pPr>
    </w:p>
    <w:p>
      <w:pPr>
        <w:pStyle w:val="16"/>
        <w:rPr>
          <w:rFonts w:ascii="仿宋" w:hAnsi="仿宋" w:eastAsia="仿宋"/>
          <w:sz w:val="28"/>
          <w:szCs w:val="28"/>
        </w:rPr>
      </w:pPr>
    </w:p>
    <w:p>
      <w:pPr>
        <w:pStyle w:val="16"/>
        <w:rPr>
          <w:rFonts w:ascii="仿宋" w:hAnsi="仿宋" w:eastAsia="仿宋"/>
          <w:sz w:val="28"/>
          <w:szCs w:val="28"/>
        </w:rPr>
      </w:pPr>
      <w:r>
        <w:rPr>
          <w:rFonts w:hint="eastAsia" w:ascii="仿宋" w:hAnsi="仿宋" w:eastAsia="仿宋"/>
          <w:sz w:val="28"/>
          <w:szCs w:val="28"/>
        </w:rPr>
        <w:t xml:space="preserve">                                            2023年9月12 日</w:t>
      </w:r>
      <w:bookmarkStart w:id="3" w:name="_Toc134452748"/>
    </w:p>
    <w:p>
      <w:pPr>
        <w:widowControl/>
        <w:jc w:val="left"/>
        <w:rPr>
          <w:rFonts w:ascii="黑体" w:hAnsi="黑体" w:eastAsia="黑体" w:cs="黑体"/>
          <w:bCs/>
          <w:sz w:val="32"/>
          <w:szCs w:val="32"/>
        </w:rPr>
      </w:pPr>
      <w:r>
        <w:rPr>
          <w:rFonts w:ascii="黑体" w:hAnsi="黑体" w:eastAsia="黑体" w:cs="黑体"/>
          <w:bCs/>
          <w:sz w:val="32"/>
          <w:szCs w:val="32"/>
        </w:rPr>
        <w:br w:type="page"/>
      </w:r>
    </w:p>
    <w:bookmarkEnd w:id="3"/>
    <w:p>
      <w:pPr>
        <w:spacing w:line="360" w:lineRule="auto"/>
        <w:rPr>
          <w:rFonts w:ascii="仿宋" w:hAnsi="仿宋" w:eastAsia="仿宋"/>
        </w:rPr>
        <w:sectPr>
          <w:footerReference r:id="rId5" w:type="first"/>
          <w:headerReference r:id="rId3" w:type="default"/>
          <w:footerReference r:id="rId4" w:type="default"/>
          <w:pgSz w:w="11906" w:h="16838"/>
          <w:pgMar w:top="1560" w:right="1474" w:bottom="1984" w:left="1587" w:header="851" w:footer="992" w:gutter="0"/>
          <w:pgNumType w:start="1"/>
          <w:cols w:space="720" w:num="1"/>
          <w:docGrid w:type="lines" w:linePitch="312" w:charSpace="0"/>
        </w:sectPr>
      </w:pPr>
    </w:p>
    <w:p>
      <w:pPr>
        <w:spacing w:line="520" w:lineRule="exact"/>
        <w:jc w:val="center"/>
        <w:outlineLvl w:val="0"/>
        <w:rPr>
          <w:rFonts w:ascii="黑体" w:hAnsi="黑体" w:eastAsia="黑体" w:cs="黑体"/>
          <w:bCs/>
          <w:sz w:val="32"/>
          <w:szCs w:val="32"/>
        </w:rPr>
      </w:pPr>
      <w:bookmarkStart w:id="4" w:name="_Toc134452749"/>
      <w:bookmarkStart w:id="5" w:name="_Toc144538988"/>
      <w:r>
        <w:rPr>
          <w:rFonts w:hint="eastAsia" w:ascii="黑体" w:hAnsi="黑体" w:eastAsia="黑体" w:cs="黑体"/>
          <w:bCs/>
          <w:sz w:val="32"/>
          <w:szCs w:val="32"/>
        </w:rPr>
        <w:t>采购需求</w:t>
      </w:r>
      <w:bookmarkEnd w:id="4"/>
      <w:bookmarkEnd w:id="5"/>
      <w:bookmarkStart w:id="6" w:name="_Toc134452750"/>
    </w:p>
    <w:p>
      <w:pPr>
        <w:spacing w:line="520" w:lineRule="exact"/>
        <w:jc w:val="left"/>
        <w:outlineLvl w:val="0"/>
        <w:rPr>
          <w:rFonts w:ascii="黑体" w:hAnsi="黑体" w:eastAsia="黑体" w:cs="黑体"/>
          <w:bCs/>
          <w:sz w:val="32"/>
          <w:szCs w:val="32"/>
        </w:rPr>
      </w:pPr>
      <w:bookmarkStart w:id="7" w:name="_Toc144538989"/>
      <w:r>
        <w:rPr>
          <w:rFonts w:hint="eastAsia" w:ascii="黑体" w:hAnsi="黑体" w:eastAsia="黑体" w:cs="黑体"/>
          <w:bCs/>
          <w:sz w:val="32"/>
          <w:szCs w:val="32"/>
        </w:rPr>
        <w:t>第一包：</w:t>
      </w:r>
      <w:bookmarkEnd w:id="7"/>
    </w:p>
    <w:p>
      <w:pPr>
        <w:spacing w:line="520" w:lineRule="exact"/>
        <w:ind w:firstLine="560" w:firstLineChars="200"/>
        <w:outlineLvl w:val="0"/>
        <w:rPr>
          <w:rFonts w:asciiTheme="minorEastAsia" w:hAnsiTheme="minorEastAsia" w:eastAsiaTheme="minorEastAsia"/>
          <w:sz w:val="28"/>
          <w:szCs w:val="28"/>
        </w:rPr>
      </w:pPr>
    </w:p>
    <w:p>
      <w:pPr>
        <w:pStyle w:val="4"/>
        <w:jc w:val="left"/>
        <w:rPr>
          <w:rStyle w:val="39"/>
          <w:rFonts w:ascii="仿宋" w:hAnsi="仿宋" w:eastAsia="仿宋"/>
          <w:b w:val="0"/>
          <w:sz w:val="28"/>
          <w:szCs w:val="28"/>
        </w:rPr>
      </w:pPr>
      <w:bookmarkStart w:id="8" w:name="_Toc144538990"/>
      <w:r>
        <w:rPr>
          <w:rFonts w:hint="eastAsia" w:asciiTheme="minorEastAsia" w:hAnsiTheme="minorEastAsia" w:eastAsiaTheme="minorEastAsia"/>
          <w:sz w:val="28"/>
          <w:szCs w:val="28"/>
        </w:rPr>
        <w:t>1.采购产品名称</w:t>
      </w:r>
      <w:r>
        <w:rPr>
          <w:rStyle w:val="39"/>
          <w:rFonts w:hint="eastAsia" w:ascii="仿宋" w:hAnsi="仿宋" w:eastAsia="仿宋"/>
          <w:b w:val="0"/>
          <w:sz w:val="28"/>
          <w:szCs w:val="28"/>
        </w:rPr>
        <w:t>：</w:t>
      </w:r>
      <w:bookmarkEnd w:id="6"/>
      <w:r>
        <w:rPr>
          <w:rStyle w:val="39"/>
          <w:rFonts w:hint="eastAsia" w:ascii="仿宋" w:hAnsi="仿宋" w:eastAsia="仿宋"/>
          <w:b w:val="0"/>
          <w:sz w:val="28"/>
          <w:szCs w:val="28"/>
        </w:rPr>
        <w:t>电力电缆。</w:t>
      </w:r>
      <w:bookmarkEnd w:id="8"/>
    </w:p>
    <w:p>
      <w:pPr>
        <w:pStyle w:val="4"/>
        <w:jc w:val="left"/>
        <w:rPr>
          <w:rStyle w:val="39"/>
          <w:rFonts w:ascii="仿宋" w:hAnsi="仿宋" w:eastAsia="仿宋"/>
          <w:b w:val="0"/>
          <w:sz w:val="28"/>
          <w:szCs w:val="28"/>
        </w:rPr>
      </w:pPr>
      <w:bookmarkStart w:id="9" w:name="_Toc144538991"/>
      <w:r>
        <w:rPr>
          <w:rFonts w:hint="eastAsia" w:asciiTheme="minorEastAsia" w:hAnsiTheme="minorEastAsia" w:eastAsiaTheme="minorEastAsia"/>
          <w:sz w:val="28"/>
          <w:szCs w:val="28"/>
        </w:rPr>
        <w:t>2.规格型号及采购数量：</w:t>
      </w:r>
      <w:r>
        <w:rPr>
          <w:rStyle w:val="39"/>
          <w:rFonts w:hint="eastAsia" w:ascii="仿宋" w:hAnsi="仿宋" w:eastAsia="仿宋"/>
          <w:b w:val="0"/>
          <w:sz w:val="28"/>
          <w:szCs w:val="28"/>
        </w:rPr>
        <w:t>详见采购清单。</w:t>
      </w:r>
      <w:bookmarkEnd w:id="9"/>
    </w:p>
    <w:p>
      <w:pPr>
        <w:pStyle w:val="4"/>
        <w:jc w:val="left"/>
        <w:rPr>
          <w:rFonts w:asciiTheme="minorEastAsia" w:hAnsiTheme="minorEastAsia" w:eastAsiaTheme="minorEastAsia"/>
          <w:sz w:val="28"/>
          <w:szCs w:val="28"/>
        </w:rPr>
      </w:pPr>
      <w:bookmarkStart w:id="10" w:name="_Toc134452751"/>
      <w:bookmarkStart w:id="11" w:name="_Toc144538992"/>
      <w:r>
        <w:rPr>
          <w:rFonts w:hint="eastAsia" w:asciiTheme="minorEastAsia" w:hAnsiTheme="minorEastAsia" w:eastAsiaTheme="minorEastAsia"/>
          <w:sz w:val="28"/>
          <w:szCs w:val="28"/>
        </w:rPr>
        <w:t>★3.技术要求</w:t>
      </w:r>
      <w:bookmarkEnd w:id="10"/>
      <w:bookmarkEnd w:id="11"/>
    </w:p>
    <w:p>
      <w:pPr>
        <w:spacing w:line="360" w:lineRule="auto"/>
        <w:ind w:firstLine="560" w:firstLineChars="200"/>
        <w:rPr>
          <w:rFonts w:ascii="仿宋" w:hAnsi="仿宋" w:eastAsia="仿宋"/>
          <w:sz w:val="28"/>
          <w:szCs w:val="28"/>
        </w:rPr>
      </w:pPr>
      <w:bookmarkStart w:id="12" w:name="_Toc134452754"/>
      <w:r>
        <w:rPr>
          <w:rFonts w:hint="eastAsia" w:ascii="仿宋" w:hAnsi="仿宋" w:eastAsia="仿宋"/>
          <w:sz w:val="28"/>
          <w:szCs w:val="28"/>
        </w:rPr>
        <w:t>3.1.遵循的主要技术标准规范：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GB/T18380.1-2001电缆在火焰条件下燃烧试验第1部分：单根绝缘电线或电缆的垂直燃烧试验方法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GB/T18380.3-2001电缆在火焰条件下燃烧试验第3部分：成束电线电缆燃烧试验方法GB6995-1986电线电缆识别标志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GB11033-1989额定电压26/35kV及以下电力电缆附件基本技术要求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GB/T 12976-1991额定电压35kV及以下铜芯、铝芯纸绝缘电力电缆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GB/T 11017-2002额定电压110kV交联聚乙烯绝缘电力电缆及其附件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GB/Z 18890-2002额定电压220kV(Um=252kV)交联聚乙烯绝缘电力电缆及其附件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GB/T 12666-1990电线电缆燃烧试验方法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GB9330-88控制电缆技术要求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GB15065-1994聚乙烯绝缘塑料技术指标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GB/T467—1997阴极铜技术标准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400V成品电缆应能经受交流50Hz、3000V(动力电缆3.5KV)5min耐压试验。6KV及35KV电缆的性能指标应符合国家最新电力规程的要求。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3.2.使用环境条件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3.2.1运行条件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3.2.1.1额定工作电压和频率：低压0.6/1kV、50Hz  高压8.7/15kV、50Hz,</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3.2.1.2系统接地方式：中性点不接地或经消弧线圈接地系统。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3.2.2环境条件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3.2.2.1环境温度：-15℃~+60℃3.3</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3.2.3敷设条件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敷设环境有直埋、沟槽、排管、沟道、隧道、桥架、竖井等多种方式。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3.2.4运行要求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3.2.4.1电缆导体的额定运行温度为90℃。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3.2.4.2短路时电缆导体的最高温度不超过250℃。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3.2.4.3电缆允许弯曲半径：不小于15倍电缆的实际外径。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 技术参数和要求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本次采购的电缆，其技术参数除应符合GB12706的要求以外，还应满足本标书以下要求。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3.3.1导体</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导体表面应光洁、无油污、无损伤屏蔽及绝缘的毛刺、锐边，无凸起或断裂的单线。导体应为圆形并绞合紧压，紧压系数不小于0.9。铜导体材料为无氧圆铜杆。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3.3.2挤出交联工艺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导体屏蔽、绝缘、绝缘屏蔽应采用三层共挤工艺，全封闭化学交联。</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3.3.3导体屏蔽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导体屏蔽为挤包的交联半导电层，半导电层应均匀地包覆在导体上，表面光滑，无明显绞线凸纹、不应有尖角、颗粒、烧焦或擦伤的痕迹。在剥离导体屏蔽时，半导电层不应有卡留在导体绞股之间的现象标称厚度为0.8mm,最小厚度应不小于0.7mm。</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3.3.4绝缘</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10kV电缆绝缘标称厚度为4.5mm,绝缘厚度平均值不小于规定的标称值，绝缘任一点最薄点的测量厚度不小于标称值的90%,任一断面上的绝缘偏心度≤10%。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3.3.5绝缘屏蔽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绝缘屏蔽为挤包的交联半导电层，半导电层应均匀地包覆在绝缘表面，表面应光原创力文档颗粒、烧焦或擦伤的痕迹。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绝缘屏蔽应为可剥离型。标称厚度为：0.8mm。</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绝缘屏蔽与金属屏蔽之间应有沿缆芯纵向的相色(黄绿红)标志带，其宽度不小于2mm,</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3.3.6金属屏蔽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金属屏蔽由重叠绕包的软铜带组成，铜带连接应采用焊接方式，并满足短路温度要求。绕包应圆整光滑，搭盖率应不小于15%。且三芯屏蔽应接触良好。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3.3.7填充及隔离套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缆芯采用非吸湿性材料填充，应紧密无空隙。缆芯中间也应填充，三芯成缆后外型应圆整。隔离套厚度平均值不小于标称值，任一点最小厚度应不小于标称值的80%。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3.3.8外护套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外护套厚度平均值应不小于标称值，任一点最小厚度应不小于标称值的80%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3.3.9电缆不圆度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电缆不圆度应不大于15%</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电缆不圆度=(电缆最大外径一电缆最小外径)/电缆最大外径×100%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3.3.10成品电缆标志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成品电缆的外护套表面应连续凸印或印刷厂名、型号、电压、导体截面、制造年份和计米长度标志，不得连续500mm内无标志。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3.4试验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3.4.1出厂试验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每批电缆出厂之前，制造厂必须对每盘电缆按GB12706以及本招标书要求进行出厂试验。出厂试验报告除附在电缆盘上以外，还应汇总三份原件送达买方。</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出厂试验项目</w:t>
      </w:r>
    </w:p>
    <w:tbl>
      <w:tblPr>
        <w:tblStyle w:val="165"/>
        <w:tblW w:w="8476"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3463"/>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93" w:type="dxa"/>
            <w:vAlign w:val="center"/>
          </w:tcPr>
          <w:p>
            <w:pPr>
              <w:spacing w:before="41" w:line="221" w:lineRule="auto"/>
              <w:ind w:left="185"/>
              <w:jc w:val="center"/>
              <w:rPr>
                <w:rFonts w:ascii="仿宋" w:hAnsi="仿宋" w:eastAsia="仿宋" w:cs="宋体"/>
                <w:szCs w:val="21"/>
              </w:rPr>
            </w:pPr>
            <w:r>
              <w:rPr>
                <w:rFonts w:ascii="仿宋" w:hAnsi="仿宋" w:eastAsia="仿宋" w:cs="宋体"/>
                <w:spacing w:val="-2"/>
                <w:szCs w:val="21"/>
              </w:rPr>
              <w:t>序号</w:t>
            </w:r>
          </w:p>
        </w:tc>
        <w:tc>
          <w:tcPr>
            <w:tcW w:w="3463" w:type="dxa"/>
            <w:vAlign w:val="center"/>
          </w:tcPr>
          <w:p>
            <w:pPr>
              <w:spacing w:before="40" w:line="220" w:lineRule="auto"/>
              <w:ind w:left="911"/>
              <w:jc w:val="center"/>
              <w:rPr>
                <w:rFonts w:ascii="仿宋" w:hAnsi="仿宋" w:eastAsia="仿宋" w:cs="宋体"/>
                <w:szCs w:val="21"/>
              </w:rPr>
            </w:pPr>
            <w:r>
              <w:rPr>
                <w:rFonts w:ascii="仿宋" w:hAnsi="仿宋" w:eastAsia="仿宋" w:cs="宋体"/>
                <w:spacing w:val="6"/>
                <w:szCs w:val="21"/>
              </w:rPr>
              <w:t>试验项目</w:t>
            </w:r>
          </w:p>
        </w:tc>
        <w:tc>
          <w:tcPr>
            <w:tcW w:w="4020" w:type="dxa"/>
            <w:vAlign w:val="center"/>
          </w:tcPr>
          <w:p>
            <w:pPr>
              <w:spacing w:before="40" w:line="220" w:lineRule="auto"/>
              <w:ind w:left="816"/>
              <w:jc w:val="center"/>
              <w:rPr>
                <w:rFonts w:ascii="仿宋" w:hAnsi="仿宋" w:eastAsia="仿宋" w:cs="宋体"/>
                <w:szCs w:val="21"/>
              </w:rPr>
            </w:pPr>
            <w:r>
              <w:rPr>
                <w:rFonts w:ascii="仿宋" w:hAnsi="仿宋" w:eastAsia="仿宋" w:cs="宋体"/>
                <w:spacing w:val="-1"/>
                <w:szCs w:val="21"/>
              </w:rPr>
              <w:t>试验方法标准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993" w:type="dxa"/>
            <w:vAlign w:val="center"/>
          </w:tcPr>
          <w:p>
            <w:pPr>
              <w:spacing w:before="100" w:line="107" w:lineRule="exact"/>
              <w:ind w:left="284"/>
              <w:jc w:val="center"/>
              <w:rPr>
                <w:rFonts w:ascii="仿宋" w:hAnsi="仿宋" w:eastAsia="仿宋" w:cs="宋体"/>
                <w:szCs w:val="21"/>
              </w:rPr>
            </w:pPr>
            <w:r>
              <w:rPr>
                <w:rFonts w:ascii="仿宋" w:hAnsi="仿宋" w:eastAsia="仿宋" w:cs="宋体"/>
                <w:position w:val="-1"/>
                <w:szCs w:val="21"/>
              </w:rPr>
              <w:t>1</w:t>
            </w:r>
          </w:p>
        </w:tc>
        <w:tc>
          <w:tcPr>
            <w:tcW w:w="3463" w:type="dxa"/>
            <w:vAlign w:val="center"/>
          </w:tcPr>
          <w:p>
            <w:pPr>
              <w:spacing w:before="38" w:line="221" w:lineRule="auto"/>
              <w:ind w:left="651"/>
              <w:jc w:val="center"/>
              <w:rPr>
                <w:rFonts w:ascii="仿宋" w:hAnsi="仿宋" w:eastAsia="仿宋" w:cs="宋体"/>
                <w:szCs w:val="21"/>
              </w:rPr>
            </w:pPr>
            <w:r>
              <w:rPr>
                <w:rFonts w:ascii="仿宋" w:hAnsi="仿宋" w:eastAsia="仿宋" w:cs="宋体"/>
                <w:spacing w:val="-1"/>
                <w:szCs w:val="21"/>
              </w:rPr>
              <w:t>导体直流电阻试验</w:t>
            </w:r>
          </w:p>
        </w:tc>
        <w:tc>
          <w:tcPr>
            <w:tcW w:w="4020" w:type="dxa"/>
            <w:vAlign w:val="center"/>
          </w:tcPr>
          <w:p>
            <w:pPr>
              <w:spacing w:before="70" w:line="183" w:lineRule="auto"/>
              <w:ind w:left="945"/>
              <w:jc w:val="center"/>
              <w:rPr>
                <w:rFonts w:ascii="仿宋" w:hAnsi="仿宋" w:eastAsia="仿宋" w:cs="宋体"/>
                <w:szCs w:val="21"/>
              </w:rPr>
            </w:pPr>
            <w:r>
              <w:rPr>
                <w:rFonts w:ascii="仿宋" w:hAnsi="仿宋" w:eastAsia="仿宋" w:cs="宋体"/>
                <w:spacing w:val="-1"/>
                <w:szCs w:val="21"/>
              </w:rPr>
              <w:t>GB3048.4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93" w:type="dxa"/>
            <w:vAlign w:val="center"/>
          </w:tcPr>
          <w:p>
            <w:pPr>
              <w:spacing w:before="102" w:line="105" w:lineRule="exact"/>
              <w:ind w:left="284"/>
              <w:jc w:val="center"/>
              <w:rPr>
                <w:rFonts w:ascii="仿宋" w:hAnsi="仿宋" w:eastAsia="仿宋" w:cs="宋体"/>
                <w:szCs w:val="21"/>
              </w:rPr>
            </w:pPr>
            <w:r>
              <w:rPr>
                <w:rFonts w:ascii="仿宋" w:hAnsi="仿宋" w:eastAsia="仿宋" w:cs="宋体"/>
                <w:position w:val="-1"/>
                <w:szCs w:val="21"/>
              </w:rPr>
              <w:t>2</w:t>
            </w:r>
          </w:p>
        </w:tc>
        <w:tc>
          <w:tcPr>
            <w:tcW w:w="3463" w:type="dxa"/>
            <w:vAlign w:val="center"/>
          </w:tcPr>
          <w:p>
            <w:pPr>
              <w:spacing w:before="39" w:line="219" w:lineRule="auto"/>
              <w:ind w:left="680"/>
              <w:jc w:val="center"/>
              <w:rPr>
                <w:rFonts w:ascii="仿宋" w:hAnsi="仿宋" w:eastAsia="仿宋" w:cs="宋体"/>
                <w:szCs w:val="21"/>
              </w:rPr>
            </w:pPr>
            <w:r>
              <w:rPr>
                <w:rFonts w:ascii="仿宋" w:hAnsi="仿宋" w:eastAsia="仿宋" w:cs="宋体"/>
                <w:spacing w:val="2"/>
                <w:szCs w:val="21"/>
              </w:rPr>
              <w:t>局部放电试验(1)</w:t>
            </w:r>
          </w:p>
        </w:tc>
        <w:tc>
          <w:tcPr>
            <w:tcW w:w="4020" w:type="dxa"/>
            <w:vAlign w:val="center"/>
          </w:tcPr>
          <w:p>
            <w:pPr>
              <w:spacing w:before="72" w:line="184" w:lineRule="auto"/>
              <w:ind w:left="905"/>
              <w:jc w:val="center"/>
              <w:rPr>
                <w:rFonts w:ascii="仿宋" w:hAnsi="仿宋" w:eastAsia="仿宋" w:cs="宋体"/>
                <w:szCs w:val="21"/>
              </w:rPr>
            </w:pPr>
            <w:r>
              <w:rPr>
                <w:rFonts w:ascii="仿宋" w:hAnsi="仿宋" w:eastAsia="仿宋" w:cs="宋体"/>
                <w:spacing w:val="-1"/>
                <w:szCs w:val="21"/>
              </w:rPr>
              <w:t>GB3048.12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3" w:type="dxa"/>
            <w:vAlign w:val="center"/>
          </w:tcPr>
          <w:p>
            <w:pPr>
              <w:spacing w:before="124" w:line="93" w:lineRule="exact"/>
              <w:ind w:left="284"/>
              <w:jc w:val="center"/>
              <w:rPr>
                <w:rFonts w:ascii="仿宋" w:hAnsi="仿宋" w:eastAsia="仿宋" w:cs="宋体"/>
                <w:szCs w:val="21"/>
              </w:rPr>
            </w:pPr>
            <w:r>
              <w:rPr>
                <w:rFonts w:ascii="仿宋" w:hAnsi="仿宋" w:eastAsia="仿宋" w:cs="宋体"/>
                <w:position w:val="-2"/>
                <w:szCs w:val="21"/>
              </w:rPr>
              <w:t>3</w:t>
            </w:r>
          </w:p>
        </w:tc>
        <w:tc>
          <w:tcPr>
            <w:tcW w:w="3463" w:type="dxa"/>
            <w:vAlign w:val="center"/>
          </w:tcPr>
          <w:p>
            <w:pPr>
              <w:spacing w:before="52" w:line="221" w:lineRule="auto"/>
              <w:ind w:left="740"/>
              <w:jc w:val="center"/>
              <w:rPr>
                <w:rFonts w:ascii="仿宋" w:hAnsi="仿宋" w:eastAsia="仿宋" w:cs="宋体"/>
                <w:szCs w:val="21"/>
              </w:rPr>
            </w:pPr>
            <w:r>
              <w:rPr>
                <w:rFonts w:ascii="仿宋" w:hAnsi="仿宋" w:eastAsia="仿宋" w:cs="宋体"/>
                <w:spacing w:val="4"/>
                <w:szCs w:val="21"/>
              </w:rPr>
              <w:t>交流电试验(2)</w:t>
            </w:r>
          </w:p>
        </w:tc>
        <w:tc>
          <w:tcPr>
            <w:tcW w:w="4020" w:type="dxa"/>
            <w:vAlign w:val="center"/>
          </w:tcPr>
          <w:p>
            <w:pPr>
              <w:spacing w:before="84" w:line="183" w:lineRule="auto"/>
              <w:ind w:left="945"/>
              <w:jc w:val="center"/>
              <w:rPr>
                <w:rFonts w:ascii="仿宋" w:hAnsi="仿宋" w:eastAsia="仿宋" w:cs="宋体"/>
                <w:szCs w:val="21"/>
              </w:rPr>
            </w:pPr>
            <w:r>
              <w:rPr>
                <w:rFonts w:ascii="仿宋" w:hAnsi="仿宋" w:eastAsia="仿宋" w:cs="宋体"/>
                <w:spacing w:val="-1"/>
                <w:szCs w:val="21"/>
              </w:rPr>
              <w:t>GB3048.8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476" w:type="dxa"/>
            <w:gridSpan w:val="3"/>
            <w:vAlign w:val="center"/>
          </w:tcPr>
          <w:p>
            <w:pPr>
              <w:spacing w:before="83" w:line="218" w:lineRule="exact"/>
              <w:ind w:left="15"/>
              <w:jc w:val="left"/>
              <w:rPr>
                <w:rFonts w:ascii="仿宋" w:hAnsi="仿宋" w:eastAsia="仿宋" w:cs="宋体"/>
                <w:szCs w:val="21"/>
              </w:rPr>
            </w:pPr>
            <w:r>
              <w:rPr>
                <w:rFonts w:ascii="仿宋" w:hAnsi="仿宋" w:eastAsia="仿宋" w:cs="宋体"/>
                <w:spacing w:val="1"/>
                <w:position w:val="6"/>
                <w:szCs w:val="21"/>
              </w:rPr>
              <w:t>(1)局部放电试验在1.7300时，放电量小于10</w:t>
            </w:r>
            <w:r>
              <w:rPr>
                <w:rFonts w:ascii="仿宋" w:hAnsi="仿宋" w:eastAsia="仿宋" w:cs="宋体"/>
                <w:position w:val="6"/>
                <w:szCs w:val="21"/>
              </w:rPr>
              <w:t>PC</w:t>
            </w:r>
            <w:r>
              <w:rPr>
                <w:rFonts w:ascii="仿宋" w:hAnsi="仿宋" w:eastAsia="仿宋" w:cs="宋体"/>
                <w:spacing w:val="1"/>
                <w:position w:val="6"/>
                <w:szCs w:val="21"/>
              </w:rPr>
              <w:t>·</w:t>
            </w:r>
          </w:p>
          <w:p>
            <w:pPr>
              <w:spacing w:line="185" w:lineRule="auto"/>
              <w:ind w:left="15"/>
              <w:jc w:val="left"/>
              <w:rPr>
                <w:rFonts w:ascii="仿宋" w:hAnsi="仿宋" w:eastAsia="仿宋" w:cs="宋体"/>
                <w:szCs w:val="21"/>
              </w:rPr>
            </w:pPr>
            <w:r>
              <w:rPr>
                <w:rFonts w:hint="eastAsia" w:ascii="仿宋" w:hAnsi="仿宋" w:eastAsia="仿宋" w:cs="宋体"/>
                <w:spacing w:val="2"/>
                <w:szCs w:val="21"/>
              </w:rPr>
              <w:t>(</w:t>
            </w:r>
            <w:r>
              <w:rPr>
                <w:rFonts w:ascii="仿宋" w:hAnsi="仿宋" w:eastAsia="仿宋" w:cs="宋体"/>
                <w:spacing w:val="2"/>
                <w:szCs w:val="21"/>
              </w:rPr>
              <w:t>2)交流电压试验要求3.5U0,持续5</w:t>
            </w:r>
            <w:r>
              <w:rPr>
                <w:rFonts w:ascii="仿宋" w:hAnsi="仿宋" w:eastAsia="仿宋" w:cs="宋体"/>
                <w:szCs w:val="21"/>
              </w:rPr>
              <w:t>min</w:t>
            </w:r>
            <w:r>
              <w:rPr>
                <w:rFonts w:ascii="仿宋" w:hAnsi="仿宋" w:eastAsia="仿宋" w:cs="宋体"/>
                <w:spacing w:val="2"/>
                <w:szCs w:val="21"/>
              </w:rPr>
              <w:t>绝缘不击穿。</w:t>
            </w:r>
          </w:p>
        </w:tc>
      </w:tr>
    </w:tbl>
    <w:p>
      <w:pPr>
        <w:spacing w:line="360" w:lineRule="auto"/>
        <w:ind w:firstLine="560" w:firstLineChars="200"/>
        <w:rPr>
          <w:rFonts w:ascii="仿宋" w:hAnsi="仿宋" w:eastAsia="仿宋"/>
          <w:sz w:val="28"/>
          <w:szCs w:val="28"/>
        </w:rPr>
      </w:pPr>
      <w:r>
        <w:rPr>
          <w:rFonts w:hint="eastAsia" w:ascii="仿宋" w:hAnsi="仿宋" w:eastAsia="仿宋"/>
          <w:sz w:val="28"/>
          <w:szCs w:val="28"/>
        </w:rPr>
        <w:t>3.4.2抽样试验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抽样试验应按GB12706及下表要求进行。并将试验报告提交买方。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抽样试验项目</w:t>
      </w:r>
    </w:p>
    <w:tbl>
      <w:tblPr>
        <w:tblStyle w:val="165"/>
        <w:tblpPr w:leftFromText="180" w:rightFromText="180" w:vertAnchor="text" w:horzAnchor="page" w:tblpX="1964" w:tblpY="18"/>
        <w:tblOverlap w:val="never"/>
        <w:tblW w:w="84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3"/>
        <w:gridCol w:w="3734"/>
        <w:gridCol w:w="3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23" w:type="dxa"/>
            <w:vAlign w:val="center"/>
          </w:tcPr>
          <w:p>
            <w:pPr>
              <w:widowControl/>
              <w:kinsoku w:val="0"/>
              <w:autoSpaceDE w:val="0"/>
              <w:autoSpaceDN w:val="0"/>
              <w:adjustRightInd w:val="0"/>
              <w:snapToGrid w:val="0"/>
              <w:spacing w:before="50" w:line="221" w:lineRule="auto"/>
              <w:ind w:left="195"/>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2"/>
                <w:kern w:val="0"/>
                <w:sz w:val="20"/>
                <w:szCs w:val="20"/>
              </w:rPr>
              <w:t>序号</w:t>
            </w:r>
          </w:p>
        </w:tc>
        <w:tc>
          <w:tcPr>
            <w:tcW w:w="3734" w:type="dxa"/>
            <w:vAlign w:val="center"/>
          </w:tcPr>
          <w:p>
            <w:pPr>
              <w:widowControl/>
              <w:kinsoku w:val="0"/>
              <w:autoSpaceDE w:val="0"/>
              <w:autoSpaceDN w:val="0"/>
              <w:adjustRightInd w:val="0"/>
              <w:snapToGrid w:val="0"/>
              <w:spacing w:before="50" w:line="220" w:lineRule="auto"/>
              <w:ind w:left="941"/>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5"/>
                <w:kern w:val="0"/>
                <w:sz w:val="20"/>
                <w:szCs w:val="20"/>
              </w:rPr>
              <w:t>试验项目</w:t>
            </w:r>
          </w:p>
        </w:tc>
        <w:tc>
          <w:tcPr>
            <w:tcW w:w="3741" w:type="dxa"/>
            <w:vAlign w:val="center"/>
          </w:tcPr>
          <w:p>
            <w:pPr>
              <w:widowControl/>
              <w:kinsoku w:val="0"/>
              <w:autoSpaceDE w:val="0"/>
              <w:autoSpaceDN w:val="0"/>
              <w:adjustRightInd w:val="0"/>
              <w:snapToGrid w:val="0"/>
              <w:spacing w:before="50" w:line="220" w:lineRule="auto"/>
              <w:ind w:left="826"/>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1"/>
                <w:kern w:val="0"/>
                <w:sz w:val="20"/>
                <w:szCs w:val="20"/>
              </w:rPr>
              <w:t>试验方法标准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23" w:type="dxa"/>
            <w:vAlign w:val="center"/>
          </w:tcPr>
          <w:p>
            <w:pPr>
              <w:widowControl/>
              <w:kinsoku w:val="0"/>
              <w:autoSpaceDE w:val="0"/>
              <w:autoSpaceDN w:val="0"/>
              <w:adjustRightInd w:val="0"/>
              <w:snapToGrid w:val="0"/>
              <w:spacing w:before="107" w:line="101" w:lineRule="exact"/>
              <w:ind w:left="284"/>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kern w:val="0"/>
                <w:position w:val="-1"/>
                <w:sz w:val="20"/>
                <w:szCs w:val="20"/>
              </w:rPr>
              <w:t>1</w:t>
            </w:r>
          </w:p>
        </w:tc>
        <w:tc>
          <w:tcPr>
            <w:tcW w:w="3734" w:type="dxa"/>
            <w:vAlign w:val="center"/>
          </w:tcPr>
          <w:p>
            <w:pPr>
              <w:widowControl/>
              <w:kinsoku w:val="0"/>
              <w:autoSpaceDE w:val="0"/>
              <w:autoSpaceDN w:val="0"/>
              <w:adjustRightInd w:val="0"/>
              <w:snapToGrid w:val="0"/>
              <w:spacing w:before="77" w:line="203" w:lineRule="auto"/>
              <w:ind w:left="941"/>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2"/>
                <w:kern w:val="0"/>
                <w:sz w:val="20"/>
                <w:szCs w:val="20"/>
              </w:rPr>
              <w:t>结构检查</w:t>
            </w:r>
          </w:p>
        </w:tc>
        <w:tc>
          <w:tcPr>
            <w:tcW w:w="3741" w:type="dxa"/>
            <w:vAlign w:val="center"/>
          </w:tcPr>
          <w:p>
            <w:pPr>
              <w:widowControl/>
              <w:kinsoku w:val="0"/>
              <w:autoSpaceDE w:val="0"/>
              <w:autoSpaceDN w:val="0"/>
              <w:adjustRightInd w:val="0"/>
              <w:snapToGrid w:val="0"/>
              <w:spacing w:before="47" w:line="221" w:lineRule="auto"/>
              <w:ind w:left="826"/>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1"/>
                <w:kern w:val="0"/>
                <w:sz w:val="20"/>
                <w:szCs w:val="20"/>
              </w:rPr>
              <w:t>GB12706.3表4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23" w:type="dxa"/>
            <w:vAlign w:val="center"/>
          </w:tcPr>
          <w:p>
            <w:pPr>
              <w:widowControl/>
              <w:kinsoku w:val="0"/>
              <w:autoSpaceDE w:val="0"/>
              <w:autoSpaceDN w:val="0"/>
              <w:adjustRightInd w:val="0"/>
              <w:snapToGrid w:val="0"/>
              <w:spacing w:before="118" w:line="99" w:lineRule="exact"/>
              <w:ind w:left="284"/>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kern w:val="0"/>
                <w:position w:val="-1"/>
                <w:sz w:val="20"/>
                <w:szCs w:val="20"/>
              </w:rPr>
              <w:t>2</w:t>
            </w:r>
          </w:p>
        </w:tc>
        <w:tc>
          <w:tcPr>
            <w:tcW w:w="3734" w:type="dxa"/>
            <w:vAlign w:val="center"/>
          </w:tcPr>
          <w:p>
            <w:pPr>
              <w:widowControl/>
              <w:kinsoku w:val="0"/>
              <w:autoSpaceDE w:val="0"/>
              <w:autoSpaceDN w:val="0"/>
              <w:adjustRightInd w:val="0"/>
              <w:snapToGrid w:val="0"/>
              <w:spacing w:before="47" w:line="219" w:lineRule="auto"/>
              <w:ind w:left="820"/>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1"/>
                <w:kern w:val="0"/>
                <w:sz w:val="20"/>
                <w:szCs w:val="20"/>
              </w:rPr>
              <w:t>局部放电试验</w:t>
            </w:r>
          </w:p>
        </w:tc>
        <w:tc>
          <w:tcPr>
            <w:tcW w:w="3741" w:type="dxa"/>
            <w:vAlign w:val="center"/>
          </w:tcPr>
          <w:p>
            <w:pPr>
              <w:widowControl/>
              <w:kinsoku w:val="0"/>
              <w:autoSpaceDE w:val="0"/>
              <w:autoSpaceDN w:val="0"/>
              <w:adjustRightInd w:val="0"/>
              <w:snapToGrid w:val="0"/>
              <w:spacing w:before="78" w:line="184" w:lineRule="auto"/>
              <w:ind w:left="886"/>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2"/>
                <w:kern w:val="0"/>
                <w:sz w:val="20"/>
                <w:szCs w:val="20"/>
              </w:rPr>
              <w:t>GB3048.12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23" w:type="dxa"/>
            <w:vAlign w:val="center"/>
          </w:tcPr>
          <w:p>
            <w:pPr>
              <w:widowControl/>
              <w:kinsoku w:val="0"/>
              <w:autoSpaceDE w:val="0"/>
              <w:autoSpaceDN w:val="0"/>
              <w:adjustRightInd w:val="0"/>
              <w:snapToGrid w:val="0"/>
              <w:spacing w:before="120" w:line="88" w:lineRule="exact"/>
              <w:ind w:left="284"/>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kern w:val="0"/>
                <w:position w:val="-2"/>
                <w:sz w:val="20"/>
                <w:szCs w:val="20"/>
              </w:rPr>
              <w:t>3</w:t>
            </w:r>
          </w:p>
        </w:tc>
        <w:tc>
          <w:tcPr>
            <w:tcW w:w="3734" w:type="dxa"/>
            <w:vAlign w:val="center"/>
          </w:tcPr>
          <w:p>
            <w:pPr>
              <w:widowControl/>
              <w:kinsoku w:val="0"/>
              <w:autoSpaceDE w:val="0"/>
              <w:autoSpaceDN w:val="0"/>
              <w:adjustRightInd w:val="0"/>
              <w:snapToGrid w:val="0"/>
              <w:spacing w:before="80" w:line="197" w:lineRule="auto"/>
              <w:ind w:left="761"/>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1"/>
                <w:kern w:val="0"/>
                <w:sz w:val="20"/>
                <w:szCs w:val="20"/>
              </w:rPr>
              <w:t>4h交流电压试验</w:t>
            </w:r>
          </w:p>
        </w:tc>
        <w:tc>
          <w:tcPr>
            <w:tcW w:w="3741" w:type="dxa"/>
            <w:vAlign w:val="center"/>
          </w:tcPr>
          <w:p>
            <w:pPr>
              <w:widowControl/>
              <w:kinsoku w:val="0"/>
              <w:autoSpaceDE w:val="0"/>
              <w:autoSpaceDN w:val="0"/>
              <w:adjustRightInd w:val="0"/>
              <w:snapToGrid w:val="0"/>
              <w:spacing w:before="110" w:line="98" w:lineRule="exact"/>
              <w:ind w:left="915"/>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2"/>
                <w:kern w:val="0"/>
                <w:position w:val="-1"/>
                <w:sz w:val="20"/>
                <w:szCs w:val="20"/>
              </w:rPr>
              <w:t>GB3048.8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23" w:type="dxa"/>
            <w:vAlign w:val="center"/>
          </w:tcPr>
          <w:p>
            <w:pPr>
              <w:widowControl/>
              <w:kinsoku w:val="0"/>
              <w:autoSpaceDE w:val="0"/>
              <w:autoSpaceDN w:val="0"/>
              <w:adjustRightInd w:val="0"/>
              <w:snapToGrid w:val="0"/>
              <w:spacing w:before="112" w:line="163" w:lineRule="auto"/>
              <w:ind w:left="284"/>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kern w:val="0"/>
                <w:sz w:val="20"/>
                <w:szCs w:val="20"/>
              </w:rPr>
              <w:t>4</w:t>
            </w:r>
          </w:p>
        </w:tc>
        <w:tc>
          <w:tcPr>
            <w:tcW w:w="3734" w:type="dxa"/>
            <w:vAlign w:val="center"/>
          </w:tcPr>
          <w:p>
            <w:pPr>
              <w:widowControl/>
              <w:kinsoku w:val="0"/>
              <w:autoSpaceDE w:val="0"/>
              <w:autoSpaceDN w:val="0"/>
              <w:adjustRightInd w:val="0"/>
              <w:snapToGrid w:val="0"/>
              <w:spacing w:before="71" w:line="219" w:lineRule="auto"/>
              <w:ind w:left="880"/>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2"/>
                <w:kern w:val="0"/>
                <w:sz w:val="20"/>
                <w:szCs w:val="20"/>
              </w:rPr>
              <w:t>热延仲试验</w:t>
            </w:r>
          </w:p>
        </w:tc>
        <w:tc>
          <w:tcPr>
            <w:tcW w:w="3741" w:type="dxa"/>
            <w:vAlign w:val="center"/>
          </w:tcPr>
          <w:p>
            <w:pPr>
              <w:widowControl/>
              <w:kinsoku w:val="0"/>
              <w:autoSpaceDE w:val="0"/>
              <w:autoSpaceDN w:val="0"/>
              <w:adjustRightInd w:val="0"/>
              <w:snapToGrid w:val="0"/>
              <w:spacing w:before="81" w:line="184" w:lineRule="auto"/>
              <w:ind w:left="886"/>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1"/>
                <w:kern w:val="0"/>
                <w:sz w:val="20"/>
                <w:szCs w:val="20"/>
              </w:rPr>
              <w:t>GB2951.18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23" w:type="dxa"/>
            <w:vAlign w:val="center"/>
          </w:tcPr>
          <w:p>
            <w:pPr>
              <w:widowControl/>
              <w:kinsoku w:val="0"/>
              <w:autoSpaceDE w:val="0"/>
              <w:autoSpaceDN w:val="0"/>
              <w:adjustRightInd w:val="0"/>
              <w:snapToGrid w:val="0"/>
              <w:spacing w:before="104" w:line="160" w:lineRule="auto"/>
              <w:ind w:left="284"/>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kern w:val="0"/>
                <w:sz w:val="20"/>
                <w:szCs w:val="20"/>
              </w:rPr>
              <w:t>5</w:t>
            </w:r>
          </w:p>
        </w:tc>
        <w:tc>
          <w:tcPr>
            <w:tcW w:w="3734" w:type="dxa"/>
            <w:vAlign w:val="center"/>
          </w:tcPr>
          <w:p>
            <w:pPr>
              <w:widowControl/>
              <w:kinsoku w:val="0"/>
              <w:autoSpaceDE w:val="0"/>
              <w:autoSpaceDN w:val="0"/>
              <w:adjustRightInd w:val="0"/>
              <w:snapToGrid w:val="0"/>
              <w:spacing w:before="52" w:line="219" w:lineRule="auto"/>
              <w:ind w:left="701"/>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1"/>
                <w:kern w:val="0"/>
                <w:sz w:val="20"/>
                <w:szCs w:val="20"/>
              </w:rPr>
              <w:t>外半导体电层剥离</w:t>
            </w:r>
          </w:p>
        </w:tc>
        <w:tc>
          <w:tcPr>
            <w:tcW w:w="3741" w:type="dxa"/>
            <w:vAlign w:val="center"/>
          </w:tcPr>
          <w:p>
            <w:pPr>
              <w:widowControl/>
              <w:kinsoku w:val="0"/>
              <w:autoSpaceDE w:val="0"/>
              <w:autoSpaceDN w:val="0"/>
              <w:adjustRightInd w:val="0"/>
              <w:snapToGrid w:val="0"/>
              <w:spacing w:before="83" w:line="184" w:lineRule="auto"/>
              <w:ind w:left="886"/>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2"/>
                <w:kern w:val="0"/>
                <w:sz w:val="20"/>
                <w:szCs w:val="20"/>
              </w:rPr>
              <w:t>GB12706.1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23" w:type="dxa"/>
            <w:vAlign w:val="center"/>
          </w:tcPr>
          <w:p>
            <w:pPr>
              <w:widowControl/>
              <w:kinsoku w:val="0"/>
              <w:autoSpaceDE w:val="0"/>
              <w:autoSpaceDN w:val="0"/>
              <w:adjustRightInd w:val="0"/>
              <w:snapToGrid w:val="0"/>
              <w:spacing w:before="114" w:line="99" w:lineRule="exact"/>
              <w:ind w:left="284"/>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kern w:val="0"/>
                <w:position w:val="-1"/>
                <w:sz w:val="20"/>
                <w:szCs w:val="20"/>
              </w:rPr>
              <w:t>6</w:t>
            </w:r>
          </w:p>
        </w:tc>
        <w:tc>
          <w:tcPr>
            <w:tcW w:w="3734" w:type="dxa"/>
            <w:vAlign w:val="center"/>
          </w:tcPr>
          <w:p>
            <w:pPr>
              <w:widowControl/>
              <w:kinsoku w:val="0"/>
              <w:autoSpaceDE w:val="0"/>
              <w:autoSpaceDN w:val="0"/>
              <w:adjustRightInd w:val="0"/>
              <w:snapToGrid w:val="0"/>
              <w:spacing w:before="54" w:line="220" w:lineRule="auto"/>
              <w:ind w:left="761"/>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2"/>
                <w:kern w:val="0"/>
                <w:sz w:val="20"/>
                <w:szCs w:val="20"/>
              </w:rPr>
              <w:t>隔离套工频耐压</w:t>
            </w:r>
          </w:p>
        </w:tc>
        <w:tc>
          <w:tcPr>
            <w:tcW w:w="3741" w:type="dxa"/>
            <w:vAlign w:val="center"/>
          </w:tcPr>
          <w:p>
            <w:pPr>
              <w:widowControl/>
              <w:kinsoku w:val="0"/>
              <w:autoSpaceDE w:val="0"/>
              <w:autoSpaceDN w:val="0"/>
              <w:adjustRightInd w:val="0"/>
              <w:snapToGrid w:val="0"/>
              <w:spacing w:before="84" w:line="184" w:lineRule="auto"/>
              <w:ind w:left="915"/>
              <w:jc w:val="center"/>
              <w:textAlignment w:val="baseline"/>
              <w:rPr>
                <w:rFonts w:ascii="仿宋" w:hAnsi="仿宋" w:eastAsia="仿宋" w:cs="宋体"/>
                <w:snapToGrid w:val="0"/>
                <w:color w:val="000000"/>
                <w:kern w:val="0"/>
                <w:sz w:val="20"/>
                <w:szCs w:val="20"/>
              </w:rPr>
            </w:pPr>
            <w:r>
              <w:rPr>
                <w:rFonts w:ascii="仿宋" w:hAnsi="仿宋" w:eastAsia="仿宋" w:cs="宋体"/>
                <w:snapToGrid w:val="0"/>
                <w:color w:val="000000"/>
                <w:spacing w:val="-2"/>
                <w:kern w:val="0"/>
                <w:sz w:val="20"/>
                <w:szCs w:val="20"/>
              </w:rPr>
              <w:t>GB2952.1</w:t>
            </w:r>
          </w:p>
        </w:tc>
      </w:tr>
    </w:tbl>
    <w:p>
      <w:pPr>
        <w:spacing w:line="360" w:lineRule="auto"/>
        <w:ind w:firstLine="560" w:firstLineChars="200"/>
        <w:rPr>
          <w:rFonts w:ascii="仿宋" w:hAnsi="仿宋" w:eastAsia="仿宋"/>
          <w:sz w:val="28"/>
          <w:szCs w:val="28"/>
        </w:rPr>
      </w:pPr>
      <w:r>
        <w:rPr>
          <w:rFonts w:hint="eastAsia" w:ascii="仿宋" w:hAnsi="仿宋" w:eastAsia="仿宋"/>
          <w:sz w:val="28"/>
          <w:szCs w:val="28"/>
        </w:rPr>
        <w:t>3.4.3型式试验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如卖方已对相同型号的电缆按同一标准进行过型式试验，并且获得导线的省级或市级的产品鉴定证书，则可用检验报告代替。如不符合，买方有权要求卖方到通过国家计量认证的电力部电气设备质量检验测试中心(设在武高所)重做型式试验，费用由卖方负责。重做的型式试验按GB12706及本招标书要求进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阻燃试验按IEC332-3A要求或提供同类产品试验报告。</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3.4.4安装后电气试验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3.4.4.1电缆线路工频耐压2Uo/5min;或者直流耐压4Uo/15min。</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3.4.5阻燃电缆采用的电缆纸需要符合国家相关标准对其力学性能、化学性能及电绝缘性能的要求。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3.4.6电缆采用的铜材应当为标准电解铜，其铜银含量99.95%;同时满足抗拉强度与伸长率等机械物理性能要求。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3.4.7三芯高压动力电缆应有相别标识，电缆表面应有长度标尺、制造厂家、型号等标识：低压动力电缆表面应有长度标尺、制造厂家、型号等标识，标识应清晰、不易擦掉，便于识别，电缆每相要有不同颜色区分，电缆不允许有中间接头。</w:t>
      </w:r>
    </w:p>
    <w:p>
      <w:pPr>
        <w:pStyle w:val="4"/>
        <w:jc w:val="left"/>
        <w:rPr>
          <w:rFonts w:asciiTheme="minorEastAsia" w:hAnsiTheme="minorEastAsia" w:eastAsiaTheme="minorEastAsia"/>
          <w:sz w:val="28"/>
          <w:szCs w:val="28"/>
        </w:rPr>
      </w:pPr>
      <w:bookmarkStart w:id="13" w:name="_Toc144538993"/>
      <w:r>
        <w:rPr>
          <w:rFonts w:hint="eastAsia" w:asciiTheme="minorEastAsia" w:hAnsiTheme="minorEastAsia" w:eastAsiaTheme="minorEastAsia"/>
          <w:sz w:val="28"/>
          <w:szCs w:val="28"/>
        </w:rPr>
        <w:t>★4.其他要求：</w:t>
      </w:r>
      <w:bookmarkEnd w:id="13"/>
    </w:p>
    <w:p>
      <w:pPr>
        <w:spacing w:line="360" w:lineRule="auto"/>
        <w:ind w:firstLine="560" w:firstLineChars="200"/>
        <w:rPr>
          <w:rFonts w:ascii="仿宋" w:hAnsi="仿宋" w:eastAsia="仿宋"/>
          <w:sz w:val="28"/>
          <w:szCs w:val="28"/>
        </w:rPr>
      </w:pPr>
      <w:r>
        <w:rPr>
          <w:rFonts w:hint="eastAsia" w:ascii="仿宋" w:hAnsi="仿宋" w:eastAsia="仿宋"/>
          <w:sz w:val="28"/>
          <w:szCs w:val="28"/>
        </w:rPr>
        <w:t>★4.1供方需保证其所提供的产品必须是合同所确定的正宗原装产品，其型号、规格必须符合清单所列的各项技术指标，质量必须达到相对应的国家标准及行业质量标准；所附各种资料及配件（软件）等必须齐全。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★4.2 电缆产品的验收按照国家标准、行业标准及国网验收规范进行，如在本项电缆所用工程项目验收中，属国网供电公司电源系统，未通过国网验收的情形，需方有权进行退货处理。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★4.3 成交人需随货提供产品合格证、生产许可证，出厂试验报告、型式报告等。</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★4.4供货期：签订合同后15日内交货。</w:t>
      </w:r>
    </w:p>
    <w:p>
      <w:pPr>
        <w:spacing w:line="520" w:lineRule="exact"/>
        <w:ind w:firstLine="840" w:firstLineChars="300"/>
        <w:rPr>
          <w:rFonts w:ascii="仿宋" w:hAnsi="仿宋" w:eastAsia="仿宋"/>
          <w:sz w:val="28"/>
          <w:szCs w:val="28"/>
        </w:rPr>
      </w:pPr>
      <w:r>
        <w:rPr>
          <w:rFonts w:hint="eastAsia" w:ascii="仿宋" w:hAnsi="仿宋" w:eastAsia="仿宋"/>
          <w:sz w:val="28"/>
          <w:szCs w:val="28"/>
        </w:rPr>
        <w:t>4.5服务地点：采购人指定地点。</w:t>
      </w:r>
    </w:p>
    <w:p>
      <w:pPr>
        <w:spacing w:line="360" w:lineRule="auto"/>
        <w:ind w:firstLine="700" w:firstLineChars="250"/>
        <w:rPr>
          <w:rFonts w:ascii="仿宋" w:hAnsi="仿宋" w:eastAsia="仿宋"/>
          <w:sz w:val="28"/>
          <w:szCs w:val="28"/>
        </w:rPr>
      </w:pPr>
    </w:p>
    <w:p>
      <w:pPr>
        <w:pStyle w:val="4"/>
        <w:jc w:val="left"/>
        <w:rPr>
          <w:rFonts w:asciiTheme="minorEastAsia" w:hAnsiTheme="minorEastAsia" w:eastAsiaTheme="minorEastAsia"/>
          <w:sz w:val="28"/>
          <w:szCs w:val="28"/>
        </w:rPr>
      </w:pPr>
      <w:bookmarkStart w:id="14" w:name="_Toc144538994"/>
      <w:r>
        <w:rPr>
          <w:rFonts w:hint="eastAsia" w:asciiTheme="minorEastAsia" w:hAnsiTheme="minorEastAsia" w:eastAsiaTheme="minorEastAsia"/>
          <w:sz w:val="28"/>
          <w:szCs w:val="28"/>
        </w:rPr>
        <w:t>★5.</w:t>
      </w:r>
      <w:bookmarkEnd w:id="12"/>
      <w:r>
        <w:rPr>
          <w:rFonts w:hint="eastAsia" w:asciiTheme="minorEastAsia" w:hAnsiTheme="minorEastAsia" w:eastAsiaTheme="minorEastAsia"/>
          <w:sz w:val="28"/>
          <w:szCs w:val="28"/>
        </w:rPr>
        <w:t>结算方式及付款</w:t>
      </w:r>
      <w:bookmarkEnd w:id="14"/>
    </w:p>
    <w:p>
      <w:pPr>
        <w:tabs>
          <w:tab w:val="left" w:pos="720"/>
        </w:tabs>
        <w:autoSpaceDE w:val="0"/>
        <w:autoSpaceDN w:val="0"/>
        <w:adjustRightInd w:val="0"/>
        <w:spacing w:beforeLines="10" w:afterLines="10" w:line="560" w:lineRule="exact"/>
        <w:ind w:firstLine="618" w:firstLineChars="221"/>
        <w:rPr>
          <w:rFonts w:ascii="仿宋" w:hAnsi="仿宋" w:eastAsia="仿宋"/>
          <w:sz w:val="28"/>
          <w:szCs w:val="28"/>
        </w:rPr>
      </w:pPr>
      <w:r>
        <w:rPr>
          <w:rFonts w:hint="eastAsia" w:ascii="仿宋" w:hAnsi="仿宋" w:eastAsia="仿宋"/>
          <w:sz w:val="28"/>
          <w:szCs w:val="28"/>
        </w:rPr>
        <w:t>5.1 固定单价，工程量按经采购人验收合格的工程量结算。</w:t>
      </w:r>
    </w:p>
    <w:p>
      <w:pPr>
        <w:tabs>
          <w:tab w:val="left" w:pos="720"/>
        </w:tabs>
        <w:autoSpaceDE w:val="0"/>
        <w:autoSpaceDN w:val="0"/>
        <w:adjustRightInd w:val="0"/>
        <w:spacing w:beforeLines="10" w:afterLines="10" w:line="560" w:lineRule="exact"/>
        <w:ind w:firstLine="618" w:firstLineChars="221"/>
        <w:rPr>
          <w:rFonts w:ascii="仿宋" w:hAnsi="仿宋" w:eastAsia="仿宋"/>
          <w:sz w:val="28"/>
          <w:szCs w:val="28"/>
        </w:rPr>
      </w:pPr>
      <w:bookmarkStart w:id="15" w:name="_Toc134452756"/>
      <w:r>
        <w:rPr>
          <w:rFonts w:hint="eastAsia" w:ascii="仿宋" w:hAnsi="仿宋" w:eastAsia="仿宋"/>
          <w:sz w:val="28"/>
          <w:szCs w:val="28"/>
        </w:rPr>
        <w:t>5.2 合同签订后，采购人向成交供应商支付合同总价30%的预付款，项目完工成交供应商需向采购人开具全额增值税专用发票后，支付至合同总价的70%，验收合格后支付至合同总价的85%，工程结算完成后，采购人向成交供应商支付至结算审定值的97%，扣留结算审定值的3%质保金，待质保期满后一次性无息结清。</w:t>
      </w:r>
    </w:p>
    <w:p>
      <w:pPr>
        <w:tabs>
          <w:tab w:val="left" w:pos="720"/>
        </w:tabs>
        <w:autoSpaceDE w:val="0"/>
        <w:autoSpaceDN w:val="0"/>
        <w:adjustRightInd w:val="0"/>
        <w:spacing w:beforeLines="10" w:afterLines="10" w:line="560" w:lineRule="exact"/>
        <w:ind w:firstLine="618" w:firstLineChars="221"/>
        <w:rPr>
          <w:rFonts w:ascii="仿宋" w:hAnsi="仿宋" w:eastAsia="仿宋"/>
          <w:sz w:val="28"/>
          <w:szCs w:val="28"/>
        </w:rPr>
      </w:pPr>
      <w:r>
        <w:rPr>
          <w:rFonts w:hint="eastAsia" w:ascii="仿宋" w:hAnsi="仿宋" w:eastAsia="仿宋"/>
          <w:sz w:val="28"/>
          <w:szCs w:val="28"/>
        </w:rPr>
        <w:t>5.3 上述付款节点及比例按建设单位向采购人实际支付工程款的比例给予成交供应商同比例支付。成交供应商承诺与采购人共同承担本项目的资金压力，本条约定是供应商投标或报价前采购人向供应商明示的条件，相应的风险及财务资金成本供应商已在报价中予以考虑，供应商充分响应并确认同意：采购人收到建设单位相应节点付款后向供应商支付对应节点款项，如建设单位付款不及时或付款比例降低（未按照建设单位与采购人所签合同约定的付款约定支付工程款），采购人有权根据建设单位的实际付款情况延期支付或同比例支付供应商节点款项，供应商须无条件接受，采购人不承担因建设单位付款不及时而延期付款的违约责任。</w:t>
      </w:r>
    </w:p>
    <w:p>
      <w:pPr>
        <w:pStyle w:val="4"/>
        <w:jc w:val="left"/>
        <w:rPr>
          <w:rFonts w:asciiTheme="minorEastAsia" w:hAnsiTheme="minorEastAsia" w:eastAsiaTheme="minorEastAsia"/>
          <w:sz w:val="28"/>
          <w:szCs w:val="28"/>
        </w:rPr>
      </w:pPr>
      <w:bookmarkStart w:id="16" w:name="_Toc144538995"/>
      <w:r>
        <w:rPr>
          <w:rFonts w:hint="eastAsia" w:asciiTheme="minorEastAsia" w:hAnsiTheme="minorEastAsia" w:eastAsiaTheme="minorEastAsia"/>
          <w:sz w:val="28"/>
          <w:szCs w:val="28"/>
        </w:rPr>
        <w:t>6.验收要求</w:t>
      </w:r>
      <w:bookmarkEnd w:id="16"/>
    </w:p>
    <w:p>
      <w:pPr>
        <w:spacing w:line="560" w:lineRule="exact"/>
        <w:ind w:firstLine="560" w:firstLineChars="200"/>
        <w:rPr>
          <w:rFonts w:ascii="仿宋" w:hAnsi="仿宋" w:eastAsia="仿宋"/>
          <w:sz w:val="28"/>
          <w:szCs w:val="28"/>
        </w:rPr>
      </w:pPr>
      <w:r>
        <w:rPr>
          <w:rFonts w:hint="eastAsia" w:ascii="仿宋" w:hAnsi="仿宋" w:eastAsia="仿宋"/>
          <w:sz w:val="28"/>
          <w:szCs w:val="28"/>
        </w:rPr>
        <w:t>6.1货物运抵现场后，采购人将对货物数量、质量、规格等进行检验。如发现货物和规格或者两者都与采购文件、响应文件、合同不符，采购人有权限根据检验结果要求成交人立即更换或者提出索赔要求。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.2</w:t>
      </w:r>
      <w:r>
        <w:rPr>
          <w:rFonts w:hint="eastAsia" w:ascii="仿宋" w:hAnsi="仿宋" w:eastAsia="仿宋"/>
          <w:sz w:val="28"/>
          <w:szCs w:val="28"/>
        </w:rPr>
        <w:t>产品到货后由采购人对货物进行详细而全面的检验，凭产品验收报告，证明货物质量无任何问题，作为付款凭据之一。</w:t>
      </w:r>
    </w:p>
    <w:p>
      <w:pPr>
        <w:pStyle w:val="4"/>
        <w:jc w:val="left"/>
        <w:rPr>
          <w:rFonts w:asciiTheme="minorEastAsia" w:hAnsiTheme="minorEastAsia" w:eastAsiaTheme="minorEastAsia"/>
          <w:sz w:val="28"/>
          <w:szCs w:val="28"/>
        </w:rPr>
      </w:pPr>
      <w:bookmarkStart w:id="17" w:name="_Toc144538996"/>
      <w:r>
        <w:rPr>
          <w:rFonts w:hint="eastAsia" w:asciiTheme="minorEastAsia" w:hAnsiTheme="minorEastAsia" w:eastAsiaTheme="minorEastAsia"/>
          <w:sz w:val="28"/>
          <w:szCs w:val="28"/>
        </w:rPr>
        <w:t>7.</w:t>
      </w:r>
      <w:bookmarkEnd w:id="15"/>
      <w:r>
        <w:rPr>
          <w:rFonts w:hint="eastAsia" w:asciiTheme="minorEastAsia" w:hAnsiTheme="minorEastAsia" w:eastAsiaTheme="minorEastAsia"/>
          <w:sz w:val="28"/>
          <w:szCs w:val="28"/>
        </w:rPr>
        <w:t>质量要求</w:t>
      </w:r>
      <w:bookmarkEnd w:id="17"/>
    </w:p>
    <w:p>
      <w:pPr>
        <w:rPr>
          <w:rFonts w:ascii="仿宋" w:hAnsi="仿宋" w:eastAsia="仿宋"/>
          <w:sz w:val="28"/>
          <w:szCs w:val="28"/>
        </w:rPr>
      </w:pPr>
      <w:r>
        <w:rPr>
          <w:rFonts w:hint="eastAsia" w:ascii="仿宋" w:hAnsi="仿宋" w:eastAsia="仿宋"/>
          <w:sz w:val="28"/>
          <w:szCs w:val="28"/>
        </w:rPr>
        <w:t xml:space="preserve">     供方需保证其所提供的产品各项技术要求及规格型号响应招标文件清单内各项技术指标，质量必须达到国家标准及行业质量标准，严禁使用不合格材料，假一罚十。因供方提供不合格材料，导致安全、质量问题的，供方应承担违约责任。</w:t>
      </w:r>
    </w:p>
    <w:p>
      <w:pPr>
        <w:spacing w:line="560" w:lineRule="exact"/>
        <w:ind w:firstLine="560" w:firstLineChars="200"/>
        <w:rPr>
          <w:rFonts w:ascii="仿宋" w:hAnsi="仿宋" w:eastAsia="仿宋"/>
          <w:sz w:val="28"/>
          <w:szCs w:val="28"/>
        </w:rPr>
      </w:pPr>
    </w:p>
    <w:p>
      <w:pPr>
        <w:pStyle w:val="4"/>
        <w:jc w:val="left"/>
        <w:rPr>
          <w:rFonts w:asciiTheme="minorEastAsia" w:hAnsiTheme="minorEastAsia" w:eastAsiaTheme="minorEastAsia"/>
          <w:sz w:val="28"/>
          <w:szCs w:val="28"/>
        </w:rPr>
      </w:pPr>
      <w:bookmarkStart w:id="18" w:name="_Toc144538997"/>
      <w:r>
        <w:rPr>
          <w:rFonts w:hint="eastAsia" w:asciiTheme="minorEastAsia" w:hAnsiTheme="minorEastAsia" w:eastAsiaTheme="minorEastAsia"/>
          <w:sz w:val="28"/>
          <w:szCs w:val="28"/>
        </w:rPr>
        <w:t>8.质保要求</w:t>
      </w:r>
      <w:bookmarkEnd w:id="18"/>
    </w:p>
    <w:p>
      <w:pPr>
        <w:tabs>
          <w:tab w:val="left" w:pos="720"/>
        </w:tabs>
        <w:autoSpaceDE w:val="0"/>
        <w:autoSpaceDN w:val="0"/>
        <w:adjustRightInd w:val="0"/>
        <w:spacing w:beforeLines="10" w:afterLines="10" w:line="560" w:lineRule="exact"/>
        <w:ind w:firstLine="480"/>
        <w:rPr>
          <w:rFonts w:ascii="仿宋" w:hAnsi="仿宋" w:eastAsia="仿宋"/>
          <w:sz w:val="28"/>
          <w:szCs w:val="28"/>
        </w:rPr>
      </w:pPr>
      <w:r>
        <w:rPr>
          <w:rFonts w:hint="eastAsia" w:ascii="仿宋" w:hAnsi="仿宋" w:eastAsia="仿宋"/>
          <w:sz w:val="28"/>
          <w:szCs w:val="28"/>
        </w:rPr>
        <w:t>产品自到货验收合格并在所用项目验收合格、送电运行后开始计算质保期，质保期为2年，在质保期头三个月内，如产品运行有严重质量的问题或质量缺陷，供方应免费予以更换，以保证需方正常运行。</w:t>
      </w:r>
    </w:p>
    <w:p>
      <w:pPr>
        <w:tabs>
          <w:tab w:val="left" w:pos="720"/>
        </w:tabs>
        <w:autoSpaceDE w:val="0"/>
        <w:autoSpaceDN w:val="0"/>
        <w:adjustRightInd w:val="0"/>
        <w:spacing w:beforeLines="10" w:afterLines="10" w:line="560" w:lineRule="exact"/>
        <w:ind w:firstLine="480"/>
        <w:rPr>
          <w:rFonts w:ascii="仿宋" w:hAnsi="仿宋" w:eastAsia="仿宋"/>
          <w:sz w:val="28"/>
          <w:szCs w:val="28"/>
        </w:rPr>
      </w:pPr>
      <w:r>
        <w:rPr>
          <w:rFonts w:hint="eastAsia" w:ascii="仿宋" w:hAnsi="仿宋" w:eastAsia="仿宋"/>
          <w:sz w:val="28"/>
          <w:szCs w:val="28"/>
        </w:rPr>
        <w:t>质保期期间因供方原因引起的维修费用由供方承担，免费质保期以外的保修费用由双方协商。但涉及结构安全、功能需求及存在较大质量或安全隐患等问题的，无论是否在免费质保期内，相应的质保责任和费用均由供方承担。</w:t>
      </w:r>
      <w:bookmarkStart w:id="19" w:name="_Toc134452757"/>
    </w:p>
    <w:p>
      <w:pPr>
        <w:spacing w:line="520" w:lineRule="exact"/>
        <w:jc w:val="left"/>
        <w:outlineLvl w:val="0"/>
        <w:rPr>
          <w:rFonts w:ascii="黑体" w:hAnsi="黑体" w:eastAsia="黑体" w:cs="黑体"/>
          <w:bCs/>
          <w:sz w:val="32"/>
          <w:szCs w:val="32"/>
        </w:rPr>
      </w:pPr>
    </w:p>
    <w:p>
      <w:pPr>
        <w:spacing w:line="520" w:lineRule="exact"/>
        <w:jc w:val="left"/>
        <w:outlineLvl w:val="0"/>
        <w:rPr>
          <w:rFonts w:ascii="黑体" w:hAnsi="黑体" w:eastAsia="黑体" w:cs="黑体"/>
          <w:bCs/>
          <w:sz w:val="32"/>
          <w:szCs w:val="32"/>
        </w:rPr>
      </w:pPr>
      <w:bookmarkStart w:id="20" w:name="_Toc144538998"/>
      <w:r>
        <w:rPr>
          <w:rFonts w:hint="eastAsia" w:ascii="黑体" w:hAnsi="黑体" w:eastAsia="黑体" w:cs="黑体"/>
          <w:bCs/>
          <w:sz w:val="32"/>
          <w:szCs w:val="32"/>
        </w:rPr>
        <w:t>第二包：</w:t>
      </w:r>
      <w:bookmarkEnd w:id="20"/>
    </w:p>
    <w:p>
      <w:pPr>
        <w:pStyle w:val="4"/>
        <w:jc w:val="left"/>
        <w:rPr>
          <w:rStyle w:val="39"/>
          <w:rFonts w:ascii="仿宋" w:hAnsi="仿宋" w:eastAsia="仿宋"/>
          <w:b w:val="0"/>
          <w:sz w:val="28"/>
          <w:szCs w:val="28"/>
        </w:rPr>
      </w:pPr>
      <w:bookmarkStart w:id="21" w:name="_Toc144538999"/>
      <w:r>
        <w:rPr>
          <w:rFonts w:hint="eastAsia" w:asciiTheme="minorEastAsia" w:hAnsiTheme="minorEastAsia" w:eastAsiaTheme="minorEastAsia"/>
          <w:sz w:val="28"/>
          <w:szCs w:val="28"/>
        </w:rPr>
        <w:t>1.采购产品名称</w:t>
      </w:r>
      <w:r>
        <w:rPr>
          <w:rStyle w:val="39"/>
          <w:rFonts w:hint="eastAsia" w:ascii="仿宋" w:hAnsi="仿宋" w:eastAsia="仿宋"/>
          <w:b w:val="0"/>
          <w:sz w:val="28"/>
          <w:szCs w:val="28"/>
        </w:rPr>
        <w:t>：</w:t>
      </w:r>
      <w:r>
        <w:rPr>
          <w:rFonts w:hint="eastAsia" w:ascii="仿宋" w:hAnsi="仿宋" w:eastAsia="仿宋"/>
          <w:b w:val="0"/>
          <w:sz w:val="28"/>
          <w:szCs w:val="28"/>
        </w:rPr>
        <w:t>高低压柜设备。</w:t>
      </w:r>
      <w:bookmarkEnd w:id="21"/>
    </w:p>
    <w:p>
      <w:pPr>
        <w:pStyle w:val="4"/>
        <w:jc w:val="left"/>
        <w:rPr>
          <w:rStyle w:val="39"/>
          <w:rFonts w:ascii="仿宋" w:hAnsi="仿宋" w:eastAsia="仿宋"/>
          <w:b w:val="0"/>
          <w:sz w:val="28"/>
          <w:szCs w:val="28"/>
        </w:rPr>
      </w:pPr>
      <w:bookmarkStart w:id="22" w:name="_Toc144539000"/>
      <w:r>
        <w:rPr>
          <w:rFonts w:hint="eastAsia" w:asciiTheme="minorEastAsia" w:hAnsiTheme="minorEastAsia" w:eastAsiaTheme="minorEastAsia"/>
          <w:sz w:val="28"/>
          <w:szCs w:val="28"/>
        </w:rPr>
        <w:t>2.规格型号及采购数量</w:t>
      </w:r>
      <w:r>
        <w:rPr>
          <w:rStyle w:val="39"/>
          <w:rFonts w:hint="eastAsia" w:ascii="仿宋" w:hAnsi="仿宋" w:eastAsia="仿宋"/>
          <w:b w:val="0"/>
          <w:sz w:val="28"/>
          <w:szCs w:val="28"/>
        </w:rPr>
        <w:t>：详见采购清单。</w:t>
      </w:r>
      <w:bookmarkEnd w:id="22"/>
    </w:p>
    <w:p>
      <w:pPr>
        <w:pStyle w:val="4"/>
        <w:jc w:val="left"/>
        <w:rPr>
          <w:rFonts w:asciiTheme="minorEastAsia" w:hAnsiTheme="minorEastAsia" w:eastAsiaTheme="minorEastAsia"/>
          <w:sz w:val="28"/>
          <w:szCs w:val="28"/>
        </w:rPr>
      </w:pPr>
      <w:bookmarkStart w:id="23" w:name="_Toc144539001"/>
      <w:r>
        <w:rPr>
          <w:rFonts w:hint="eastAsia" w:ascii="仿宋" w:hAnsi="仿宋" w:eastAsia="仿宋"/>
          <w:sz w:val="28"/>
          <w:szCs w:val="28"/>
        </w:rPr>
        <w:t>★</w:t>
      </w:r>
      <w:r>
        <w:rPr>
          <w:rFonts w:hint="eastAsia" w:asciiTheme="minorEastAsia" w:hAnsiTheme="minorEastAsia" w:eastAsiaTheme="minorEastAsia"/>
          <w:sz w:val="28"/>
          <w:szCs w:val="28"/>
        </w:rPr>
        <w:t>3.技术要求</w:t>
      </w:r>
      <w:bookmarkEnd w:id="23"/>
    </w:p>
    <w:p>
      <w:pPr>
        <w:spacing w:line="360" w:lineRule="auto"/>
        <w:ind w:firstLine="560" w:firstLineChars="200"/>
        <w:rPr>
          <w:rFonts w:ascii="仿宋" w:hAnsi="仿宋" w:eastAsia="仿宋"/>
          <w:sz w:val="28"/>
          <w:szCs w:val="28"/>
        </w:rPr>
      </w:pPr>
      <w:r>
        <w:rPr>
          <w:rFonts w:hint="eastAsia" w:ascii="仿宋" w:hAnsi="仿宋" w:eastAsia="仿宋"/>
          <w:sz w:val="28"/>
          <w:szCs w:val="28"/>
        </w:rPr>
        <w:t>3.1供方需保证自项目中标后保质保量30日内完成设备生产及供货就位工作。相关验收按国家标准及行业技术要求进行，并一次性送电验收通过。各设备均需提供设计图纸、产品合格证、生产许可证，试验报告、型式试验报告、配件随主机设备配齐。</w:t>
      </w:r>
    </w:p>
    <w:p>
      <w:pPr>
        <w:spacing w:line="520" w:lineRule="exact"/>
        <w:ind w:firstLine="840" w:firstLineChars="300"/>
        <w:rPr>
          <w:rFonts w:ascii="仿宋" w:hAnsi="仿宋" w:eastAsia="仿宋"/>
          <w:sz w:val="28"/>
          <w:szCs w:val="28"/>
        </w:rPr>
      </w:pPr>
      <w:r>
        <w:rPr>
          <w:rFonts w:hint="eastAsia" w:ascii="仿宋" w:hAnsi="仿宋" w:eastAsia="仿宋"/>
          <w:sz w:val="28"/>
          <w:szCs w:val="28"/>
        </w:rPr>
        <w:t>3.2 服务地点：采购人指定地点。</w:t>
      </w:r>
    </w:p>
    <w:p>
      <w:pPr>
        <w:pStyle w:val="4"/>
        <w:jc w:val="left"/>
        <w:rPr>
          <w:rFonts w:asciiTheme="minorEastAsia" w:hAnsiTheme="minorEastAsia" w:eastAsiaTheme="minorEastAsia"/>
          <w:sz w:val="28"/>
          <w:szCs w:val="28"/>
        </w:rPr>
      </w:pPr>
      <w:bookmarkStart w:id="24" w:name="_Toc144539002"/>
      <w:r>
        <w:rPr>
          <w:rFonts w:hint="eastAsia" w:asciiTheme="minorEastAsia" w:hAnsiTheme="minorEastAsia" w:eastAsiaTheme="minorEastAsia"/>
          <w:sz w:val="28"/>
          <w:szCs w:val="28"/>
        </w:rPr>
        <w:t>★4.结算方式及付款</w:t>
      </w:r>
      <w:bookmarkEnd w:id="24"/>
    </w:p>
    <w:p>
      <w:pPr>
        <w:tabs>
          <w:tab w:val="left" w:pos="720"/>
        </w:tabs>
        <w:autoSpaceDE w:val="0"/>
        <w:autoSpaceDN w:val="0"/>
        <w:adjustRightInd w:val="0"/>
        <w:spacing w:beforeLines="10" w:afterLines="10" w:line="560" w:lineRule="exact"/>
        <w:ind w:firstLine="618" w:firstLineChars="221"/>
        <w:rPr>
          <w:rFonts w:ascii="仿宋" w:hAnsi="仿宋" w:eastAsia="仿宋"/>
          <w:sz w:val="28"/>
          <w:szCs w:val="28"/>
        </w:rPr>
      </w:pPr>
      <w:r>
        <w:rPr>
          <w:rFonts w:hint="eastAsia" w:ascii="仿宋" w:hAnsi="仿宋" w:eastAsia="仿宋"/>
          <w:sz w:val="28"/>
          <w:szCs w:val="28"/>
        </w:rPr>
        <w:t>4.1 固定单价，工程量按经采购人验收合格的工程量结算。</w:t>
      </w:r>
    </w:p>
    <w:p>
      <w:pPr>
        <w:tabs>
          <w:tab w:val="left" w:pos="720"/>
        </w:tabs>
        <w:autoSpaceDE w:val="0"/>
        <w:autoSpaceDN w:val="0"/>
        <w:adjustRightInd w:val="0"/>
        <w:spacing w:beforeLines="10" w:afterLines="10" w:line="560" w:lineRule="exact"/>
        <w:ind w:firstLine="618" w:firstLineChars="221"/>
        <w:rPr>
          <w:rFonts w:ascii="仿宋" w:hAnsi="仿宋" w:eastAsia="仿宋"/>
          <w:sz w:val="28"/>
          <w:szCs w:val="28"/>
        </w:rPr>
      </w:pPr>
      <w:r>
        <w:rPr>
          <w:rFonts w:hint="eastAsia" w:ascii="仿宋" w:hAnsi="仿宋" w:eastAsia="仿宋"/>
          <w:sz w:val="28"/>
          <w:szCs w:val="28"/>
        </w:rPr>
        <w:t>4.2 合同签订后，采购人向成交供应商支付合同总价30%的预付款，项目完工成交供应商需向采购人开具全额增值税专用发票后，支付至合同总价的70%，验收合格后支付至合同总价的85%，工程结算完成后，采购人向成交供应商支付至结算审定值的97%，扣留结算审定值的3%质保金，待质保期满后一次性无息结清。</w:t>
      </w:r>
    </w:p>
    <w:p>
      <w:pPr>
        <w:tabs>
          <w:tab w:val="left" w:pos="720"/>
        </w:tabs>
        <w:autoSpaceDE w:val="0"/>
        <w:autoSpaceDN w:val="0"/>
        <w:adjustRightInd w:val="0"/>
        <w:spacing w:beforeLines="10" w:afterLines="10" w:line="560" w:lineRule="exact"/>
        <w:ind w:firstLine="618" w:firstLineChars="221"/>
        <w:rPr>
          <w:rFonts w:ascii="仿宋" w:hAnsi="仿宋" w:eastAsia="仿宋"/>
          <w:sz w:val="28"/>
          <w:szCs w:val="28"/>
        </w:rPr>
      </w:pPr>
      <w:r>
        <w:rPr>
          <w:rFonts w:hint="eastAsia" w:ascii="仿宋" w:hAnsi="仿宋" w:eastAsia="仿宋"/>
          <w:sz w:val="28"/>
          <w:szCs w:val="28"/>
        </w:rPr>
        <w:t>4.3 上述付款节点及比例按建设单位向采购人实际支付工程款的比例给予成交供应商同比例支付。成交供应商承诺与采购人共同承担本项目的资金压力，本条约定是供应商投标或报价前采购人向供应商明示的条件，相应的风险及财务资金成本供应商已在报价中予以考虑，供应商充分响应并确认同意：采购人收到建设单位相应节点付款后向供应商支付对应节点款项，如建设单位付款不及时或付款比例降低（未按照建设单位与采购人所签合同约定的付款约定支付工程款），采购人有权根据建设单位的实际付款情况延期支付或同比例支付供应商节点款项，供应商须无条件接受，采购人不承担因建设单位付款不及时而延期付款的违约责任。</w:t>
      </w:r>
    </w:p>
    <w:p>
      <w:pPr>
        <w:pStyle w:val="4"/>
        <w:jc w:val="left"/>
        <w:rPr>
          <w:rFonts w:asciiTheme="minorEastAsia" w:hAnsiTheme="minorEastAsia" w:eastAsiaTheme="minorEastAsia"/>
          <w:sz w:val="28"/>
          <w:szCs w:val="28"/>
        </w:rPr>
      </w:pPr>
      <w:bookmarkStart w:id="25" w:name="_Toc144539003"/>
      <w:r>
        <w:rPr>
          <w:rFonts w:hint="eastAsia" w:asciiTheme="minorEastAsia" w:hAnsiTheme="minorEastAsia" w:eastAsiaTheme="minorEastAsia"/>
          <w:sz w:val="28"/>
          <w:szCs w:val="28"/>
        </w:rPr>
        <w:t>5.验收要求</w:t>
      </w:r>
      <w:bookmarkEnd w:id="25"/>
    </w:p>
    <w:p>
      <w:pPr>
        <w:spacing w:line="360" w:lineRule="auto"/>
        <w:ind w:firstLine="560" w:firstLineChars="200"/>
        <w:rPr>
          <w:rFonts w:ascii="仿宋" w:hAnsi="仿宋" w:eastAsia="仿宋"/>
          <w:sz w:val="28"/>
          <w:szCs w:val="28"/>
        </w:rPr>
      </w:pPr>
      <w:r>
        <w:rPr>
          <w:rFonts w:hint="eastAsia" w:ascii="仿宋" w:hAnsi="仿宋" w:eastAsia="仿宋"/>
          <w:sz w:val="28"/>
          <w:szCs w:val="28"/>
        </w:rPr>
        <w:t>5.1按建设单位、设计院和供电部门验收要求执行，如在设备、材料所用工程项目验收中，属国网供电公司电源系统，未通过国网验收的情形，需方有权进行退货处理。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5.2相关电气设备、继电保护系统、远动通讯系统应按照国家颁发的工程设计、施工及验收规范、电力系统相关验收规范进行；所有开关柜内高压断路器及二次接线的安装、接线需统一标准，满足断路器间互换要求。</w:t>
      </w:r>
    </w:p>
    <w:p>
      <w:pPr>
        <w:pStyle w:val="4"/>
        <w:jc w:val="left"/>
        <w:rPr>
          <w:rFonts w:asciiTheme="minorEastAsia" w:hAnsiTheme="minorEastAsia" w:eastAsiaTheme="minorEastAsia"/>
          <w:sz w:val="28"/>
          <w:szCs w:val="28"/>
        </w:rPr>
      </w:pPr>
      <w:bookmarkStart w:id="26" w:name="_Toc144539004"/>
      <w:r>
        <w:rPr>
          <w:rFonts w:hint="eastAsia" w:asciiTheme="minorEastAsia" w:hAnsiTheme="minorEastAsia" w:eastAsiaTheme="minorEastAsia"/>
          <w:sz w:val="28"/>
          <w:szCs w:val="28"/>
        </w:rPr>
        <w:t>6.质量要求</w:t>
      </w:r>
      <w:bookmarkEnd w:id="26"/>
    </w:p>
    <w:p>
      <w:pPr>
        <w:rPr>
          <w:rFonts w:ascii="仿宋" w:hAnsi="仿宋" w:eastAsia="仿宋"/>
          <w:b/>
          <w:bCs/>
          <w:sz w:val="28"/>
          <w:szCs w:val="28"/>
        </w:rPr>
      </w:pPr>
      <w:r>
        <w:rPr>
          <w:rFonts w:hint="eastAsia" w:ascii="仿宋" w:hAnsi="仿宋" w:eastAsia="仿宋"/>
          <w:sz w:val="28"/>
          <w:szCs w:val="28"/>
        </w:rPr>
        <w:t xml:space="preserve">    供方需保证其所提供的产品各项技术要求及规格型号响应采购文件清单内各项技术指标，质量必须达到该项设备的国家标准及行业质量标准，严禁使用不合格材料，假一罚十。因供方提供不合格材料，导致设备安全、质量问题的，供方应承担违约责任。</w:t>
      </w:r>
    </w:p>
    <w:p>
      <w:pPr>
        <w:pStyle w:val="4"/>
        <w:jc w:val="left"/>
        <w:rPr>
          <w:rFonts w:asciiTheme="minorEastAsia" w:hAnsiTheme="minorEastAsia" w:eastAsiaTheme="minorEastAsia"/>
          <w:sz w:val="28"/>
          <w:szCs w:val="28"/>
        </w:rPr>
      </w:pPr>
      <w:bookmarkStart w:id="27" w:name="_Toc144539005"/>
      <w:r>
        <w:rPr>
          <w:rFonts w:hint="eastAsia" w:asciiTheme="minorEastAsia" w:hAnsiTheme="minorEastAsia" w:eastAsiaTheme="minorEastAsia"/>
          <w:sz w:val="28"/>
          <w:szCs w:val="28"/>
        </w:rPr>
        <w:t>7.质保要求</w:t>
      </w:r>
      <w:bookmarkEnd w:id="27"/>
    </w:p>
    <w:p>
      <w:pPr>
        <w:tabs>
          <w:tab w:val="left" w:pos="720"/>
        </w:tabs>
        <w:autoSpaceDE w:val="0"/>
        <w:autoSpaceDN w:val="0"/>
        <w:adjustRightInd w:val="0"/>
        <w:spacing w:beforeLines="10" w:afterLines="10" w:line="560" w:lineRule="exact"/>
        <w:ind w:firstLine="480"/>
        <w:rPr>
          <w:rFonts w:ascii="仿宋" w:hAnsi="仿宋" w:eastAsia="仿宋"/>
          <w:sz w:val="28"/>
          <w:szCs w:val="28"/>
        </w:rPr>
      </w:pPr>
      <w:r>
        <w:rPr>
          <w:rFonts w:hint="eastAsia" w:ascii="仿宋" w:hAnsi="仿宋" w:eastAsia="仿宋"/>
          <w:sz w:val="28"/>
          <w:szCs w:val="28"/>
        </w:rPr>
        <w:t>设备整体质保期为两年，在此期间因供方原因引起的维修费用由供方承担，免费质保期以外的保修费用由双方协商。但涉及结构安全、功能需求及存在较大质量或安全隐患等问题的，无论是否在免费质保期内，相应的质保责任和费用均由供方承担。</w:t>
      </w:r>
    </w:p>
    <w:p>
      <w:pPr>
        <w:spacing w:line="560" w:lineRule="exact"/>
        <w:ind w:firstLine="560" w:firstLineChars="200"/>
        <w:rPr>
          <w:rFonts w:ascii="仿宋" w:hAnsi="仿宋" w:eastAsia="仿宋"/>
          <w:sz w:val="28"/>
          <w:szCs w:val="28"/>
        </w:rPr>
      </w:pPr>
    </w:p>
    <w:p>
      <w:pPr>
        <w:spacing w:line="360" w:lineRule="auto"/>
        <w:rPr>
          <w:rFonts w:ascii="新宋体" w:hAnsi="新宋体" w:eastAsia="新宋体"/>
          <w:sz w:val="24"/>
          <w:szCs w:val="24"/>
        </w:rPr>
      </w:pPr>
    </w:p>
    <w:p>
      <w:pPr>
        <w:spacing w:line="360" w:lineRule="auto"/>
        <w:rPr>
          <w:rFonts w:ascii="仿宋" w:hAnsi="仿宋" w:eastAsia="仿宋"/>
          <w:sz w:val="28"/>
          <w:szCs w:val="28"/>
        </w:rPr>
      </w:pPr>
      <w:r>
        <w:rPr>
          <w:rFonts w:ascii="黑体" w:hAnsi="黑体" w:eastAsia="黑体" w:cs="黑体"/>
          <w:bCs/>
          <w:sz w:val="32"/>
          <w:szCs w:val="32"/>
        </w:rPr>
        <w:br w:type="page"/>
      </w:r>
    </w:p>
    <w:p>
      <w:pPr>
        <w:tabs>
          <w:tab w:val="left" w:pos="567"/>
        </w:tabs>
        <w:spacing w:line="560" w:lineRule="exact"/>
        <w:jc w:val="left"/>
        <w:outlineLvl w:val="0"/>
        <w:rPr>
          <w:rFonts w:asciiTheme="minorEastAsia" w:hAnsiTheme="minorEastAsia" w:eastAsiaTheme="minorEastAsia"/>
          <w:b/>
          <w:bCs/>
          <w:sz w:val="28"/>
          <w:szCs w:val="28"/>
        </w:rPr>
      </w:pPr>
      <w:bookmarkStart w:id="28" w:name="_Toc144539006"/>
      <w:r>
        <w:rPr>
          <w:rFonts w:hint="eastAsia" w:asciiTheme="minorEastAsia" w:hAnsiTheme="minorEastAsia" w:eastAsiaTheme="minorEastAsia"/>
          <w:b/>
          <w:bCs/>
          <w:sz w:val="28"/>
          <w:szCs w:val="28"/>
        </w:rPr>
        <w:t>附录：采购清单控制价</w:t>
      </w:r>
      <w:bookmarkEnd w:id="28"/>
    </w:p>
    <w:p>
      <w:pPr>
        <w:rPr>
          <w:rFonts w:ascii="仿宋" w:hAnsi="仿宋" w:eastAsia="仿宋"/>
          <w:sz w:val="28"/>
          <w:szCs w:val="28"/>
        </w:rPr>
      </w:pPr>
      <w:r>
        <w:rPr>
          <w:rFonts w:hint="eastAsia" w:ascii="仿宋" w:hAnsi="仿宋" w:eastAsia="仿宋"/>
          <w:b/>
          <w:sz w:val="28"/>
          <w:szCs w:val="28"/>
        </w:rPr>
        <w:t>第一包：电缆材料（内线、外线）</w:t>
      </w:r>
      <w:r>
        <w:rPr>
          <w:rFonts w:hint="eastAsia" w:ascii="仿宋" w:hAnsi="仿宋" w:eastAsia="仿宋"/>
          <w:sz w:val="28"/>
          <w:szCs w:val="28"/>
        </w:rPr>
        <w:t xml:space="preserve">  控制总价为：5549844.64元（含税价，其中增值税税率13%）。</w:t>
      </w:r>
    </w:p>
    <w:p>
      <w:pPr>
        <w:rPr>
          <w:rFonts w:ascii="仿宋" w:hAnsi="仿宋" w:eastAsia="仿宋"/>
          <w:sz w:val="28"/>
          <w:szCs w:val="28"/>
        </w:rPr>
      </w:pPr>
      <w:r>
        <w:rPr>
          <w:rFonts w:hint="eastAsia" w:ascii="仿宋" w:hAnsi="仿宋" w:eastAsia="仿宋"/>
          <w:sz w:val="28"/>
          <w:szCs w:val="28"/>
        </w:rPr>
        <w:t>电缆材料（内线、外线）控制价汇总表：</w:t>
      </w:r>
    </w:p>
    <w:tbl>
      <w:tblPr>
        <w:tblStyle w:val="28"/>
        <w:tblW w:w="9529" w:type="dxa"/>
        <w:tblInd w:w="-176" w:type="dxa"/>
        <w:tblLayout w:type="autofit"/>
        <w:tblCellMar>
          <w:top w:w="0" w:type="dxa"/>
          <w:left w:w="108" w:type="dxa"/>
          <w:bottom w:w="0" w:type="dxa"/>
          <w:right w:w="108" w:type="dxa"/>
        </w:tblCellMar>
      </w:tblPr>
      <w:tblGrid>
        <w:gridCol w:w="457"/>
        <w:gridCol w:w="4222"/>
        <w:gridCol w:w="457"/>
        <w:gridCol w:w="1134"/>
        <w:gridCol w:w="2551"/>
        <w:gridCol w:w="740"/>
      </w:tblGrid>
      <w:tr>
        <w:tblPrEx>
          <w:tblCellMar>
            <w:top w:w="0" w:type="dxa"/>
            <w:left w:w="108" w:type="dxa"/>
            <w:bottom w:w="0" w:type="dxa"/>
            <w:right w:w="108" w:type="dxa"/>
          </w:tblCellMar>
        </w:tblPrEx>
        <w:trPr>
          <w:trHeight w:val="375" w:hRule="atLeast"/>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序号</w:t>
            </w:r>
          </w:p>
        </w:tc>
        <w:tc>
          <w:tcPr>
            <w:tcW w:w="422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明细</w:t>
            </w:r>
          </w:p>
        </w:tc>
        <w:tc>
          <w:tcPr>
            <w:tcW w:w="42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单位</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数量</w:t>
            </w:r>
          </w:p>
        </w:tc>
        <w:tc>
          <w:tcPr>
            <w:tcW w:w="255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含税金额（元）</w:t>
            </w:r>
          </w:p>
        </w:tc>
        <w:tc>
          <w:tcPr>
            <w:tcW w:w="74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税率</w:t>
            </w:r>
          </w:p>
        </w:tc>
      </w:tr>
      <w:tr>
        <w:tblPrEx>
          <w:tblCellMar>
            <w:top w:w="0" w:type="dxa"/>
            <w:left w:w="108" w:type="dxa"/>
            <w:bottom w:w="0" w:type="dxa"/>
            <w:right w:w="108" w:type="dxa"/>
          </w:tblCellMar>
        </w:tblPrEx>
        <w:trPr>
          <w:trHeight w:val="375"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1</w:t>
            </w:r>
          </w:p>
        </w:tc>
        <w:tc>
          <w:tcPr>
            <w:tcW w:w="422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内线电缆</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3997165.84</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375"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2</w:t>
            </w:r>
          </w:p>
        </w:tc>
        <w:tc>
          <w:tcPr>
            <w:tcW w:w="422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外线电缆</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1552678.80</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375"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3</w:t>
            </w:r>
          </w:p>
        </w:tc>
        <w:tc>
          <w:tcPr>
            <w:tcW w:w="422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合计</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5549844.64</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bl>
    <w:p>
      <w:pPr>
        <w:rPr>
          <w:rFonts w:ascii="仿宋" w:hAnsi="仿宋" w:eastAsia="仿宋"/>
          <w:sz w:val="28"/>
          <w:szCs w:val="28"/>
        </w:rPr>
      </w:pPr>
      <w:r>
        <w:rPr>
          <w:rFonts w:hint="eastAsia" w:ascii="仿宋" w:hAnsi="仿宋" w:eastAsia="仿宋"/>
          <w:sz w:val="28"/>
          <w:szCs w:val="28"/>
        </w:rPr>
        <w:t>内线控制价清单：</w:t>
      </w:r>
    </w:p>
    <w:tbl>
      <w:tblPr>
        <w:tblStyle w:val="28"/>
        <w:tblW w:w="5095" w:type="pct"/>
        <w:tblInd w:w="-176" w:type="dxa"/>
        <w:tblLayout w:type="autofit"/>
        <w:tblCellMar>
          <w:top w:w="0" w:type="dxa"/>
          <w:left w:w="108" w:type="dxa"/>
          <w:bottom w:w="0" w:type="dxa"/>
          <w:right w:w="108" w:type="dxa"/>
        </w:tblCellMar>
      </w:tblPr>
      <w:tblGrid>
        <w:gridCol w:w="457"/>
        <w:gridCol w:w="4222"/>
        <w:gridCol w:w="462"/>
        <w:gridCol w:w="1056"/>
        <w:gridCol w:w="1245"/>
        <w:gridCol w:w="1416"/>
        <w:gridCol w:w="604"/>
      </w:tblGrid>
      <w:tr>
        <w:tblPrEx>
          <w:tblCellMar>
            <w:top w:w="0" w:type="dxa"/>
            <w:left w:w="108" w:type="dxa"/>
            <w:bottom w:w="0" w:type="dxa"/>
            <w:right w:w="108" w:type="dxa"/>
          </w:tblCellMar>
        </w:tblPrEx>
        <w:trPr>
          <w:trHeight w:val="420" w:hRule="atLeast"/>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序号</w:t>
            </w:r>
          </w:p>
        </w:tc>
        <w:tc>
          <w:tcPr>
            <w:tcW w:w="22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名称规格</w:t>
            </w:r>
          </w:p>
        </w:tc>
        <w:tc>
          <w:tcPr>
            <w:tcW w:w="2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单位</w:t>
            </w:r>
          </w:p>
        </w:tc>
        <w:tc>
          <w:tcPr>
            <w:tcW w:w="5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数量</w:t>
            </w:r>
          </w:p>
        </w:tc>
        <w:tc>
          <w:tcPr>
            <w:tcW w:w="6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含税控制单价</w:t>
            </w:r>
          </w:p>
        </w:tc>
        <w:tc>
          <w:tcPr>
            <w:tcW w:w="7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小计</w:t>
            </w:r>
          </w:p>
        </w:tc>
        <w:tc>
          <w:tcPr>
            <w:tcW w:w="3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税率</w:t>
            </w:r>
          </w:p>
        </w:tc>
      </w:tr>
      <w:tr>
        <w:tblPrEx>
          <w:tblCellMar>
            <w:top w:w="0" w:type="dxa"/>
            <w:left w:w="108" w:type="dxa"/>
            <w:bottom w:w="0" w:type="dxa"/>
            <w:right w:w="108" w:type="dxa"/>
          </w:tblCellMar>
        </w:tblPrEx>
        <w:trPr>
          <w:trHeight w:val="450"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电缆WDZB-YJY-0.6/1kV-4x70+1x35</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米</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1310.00</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244.63</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320465.30</w:t>
            </w:r>
          </w:p>
        </w:tc>
        <w:tc>
          <w:tcPr>
            <w:tcW w:w="3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450"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电缆WDZB-YJY-0.6/1kV-4x35+1x16</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米</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252.00</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122.85</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30958.20</w:t>
            </w:r>
          </w:p>
        </w:tc>
        <w:tc>
          <w:tcPr>
            <w:tcW w:w="3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450"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电缆WDZB-YJY-0.6/1kV-4×150+1×95</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米</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756.00</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509.79</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385401.24</w:t>
            </w:r>
          </w:p>
        </w:tc>
        <w:tc>
          <w:tcPr>
            <w:tcW w:w="3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450"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电缆WDZB-YJY-0.6/1kV-4×240+1×120</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米</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3643.00</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855.89</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3118007.27</w:t>
            </w:r>
          </w:p>
        </w:tc>
        <w:tc>
          <w:tcPr>
            <w:tcW w:w="3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450"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电缆WDZBN-YJY-0.6/1kV-4×150+1×95</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米</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198.00</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532.14</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105363.72</w:t>
            </w:r>
          </w:p>
        </w:tc>
        <w:tc>
          <w:tcPr>
            <w:tcW w:w="3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450"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电力电缆 ZR-YJV-10KV-3*70</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101.00</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212.11</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21423.11</w:t>
            </w:r>
          </w:p>
        </w:tc>
        <w:tc>
          <w:tcPr>
            <w:tcW w:w="3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255"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ZR-BV-0.5-4</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792.00</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4.70</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3722.40</w:t>
            </w:r>
          </w:p>
        </w:tc>
        <w:tc>
          <w:tcPr>
            <w:tcW w:w="3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255"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ZR-BV-0.5-2.5</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1247.00</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2.06</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2568.82</w:t>
            </w:r>
          </w:p>
        </w:tc>
        <w:tc>
          <w:tcPr>
            <w:tcW w:w="3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255"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KVVP-5*2.5mm2</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30.00</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9.96</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298.80</w:t>
            </w:r>
          </w:p>
        </w:tc>
        <w:tc>
          <w:tcPr>
            <w:tcW w:w="3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255"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电缆ZR -YJV-5*6mm2</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6.00</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10.58</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63.48</w:t>
            </w:r>
          </w:p>
        </w:tc>
        <w:tc>
          <w:tcPr>
            <w:tcW w:w="3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255"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YJV-5*16</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121.00</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73.50</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8893.50</w:t>
            </w:r>
          </w:p>
        </w:tc>
        <w:tc>
          <w:tcPr>
            <w:tcW w:w="3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255"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合计</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3997165.84</w:t>
            </w:r>
          </w:p>
        </w:tc>
        <w:tc>
          <w:tcPr>
            <w:tcW w:w="3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r>
    </w:tbl>
    <w:p>
      <w:pPr>
        <w:rPr>
          <w:rFonts w:ascii="仿宋" w:hAnsi="仿宋" w:eastAsia="仿宋"/>
          <w:sz w:val="28"/>
          <w:szCs w:val="28"/>
        </w:rPr>
      </w:pPr>
      <w:r>
        <w:rPr>
          <w:rFonts w:hint="eastAsia" w:ascii="仿宋" w:hAnsi="仿宋" w:eastAsia="仿宋"/>
          <w:sz w:val="28"/>
          <w:szCs w:val="28"/>
        </w:rPr>
        <w:t>外线控制价清单：</w:t>
      </w:r>
    </w:p>
    <w:tbl>
      <w:tblPr>
        <w:tblStyle w:val="28"/>
        <w:tblW w:w="5095" w:type="pct"/>
        <w:tblInd w:w="-176" w:type="dxa"/>
        <w:tblLayout w:type="autofit"/>
        <w:tblCellMar>
          <w:top w:w="0" w:type="dxa"/>
          <w:left w:w="108" w:type="dxa"/>
          <w:bottom w:w="0" w:type="dxa"/>
          <w:right w:w="108" w:type="dxa"/>
        </w:tblCellMar>
      </w:tblPr>
      <w:tblGrid>
        <w:gridCol w:w="457"/>
        <w:gridCol w:w="4222"/>
        <w:gridCol w:w="484"/>
        <w:gridCol w:w="1056"/>
        <w:gridCol w:w="1250"/>
        <w:gridCol w:w="1416"/>
        <w:gridCol w:w="577"/>
      </w:tblGrid>
      <w:tr>
        <w:tblPrEx>
          <w:tblCellMar>
            <w:top w:w="0" w:type="dxa"/>
            <w:left w:w="108" w:type="dxa"/>
            <w:bottom w:w="0" w:type="dxa"/>
            <w:right w:w="108" w:type="dxa"/>
          </w:tblCellMar>
        </w:tblPrEx>
        <w:trPr>
          <w:trHeight w:val="998" w:hRule="atLeast"/>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序号</w:t>
            </w:r>
          </w:p>
        </w:tc>
        <w:tc>
          <w:tcPr>
            <w:tcW w:w="22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名称规格</w:t>
            </w:r>
          </w:p>
        </w:tc>
        <w:tc>
          <w:tcPr>
            <w:tcW w:w="2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单位</w:t>
            </w:r>
          </w:p>
        </w:tc>
        <w:tc>
          <w:tcPr>
            <w:tcW w:w="5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数量</w:t>
            </w:r>
          </w:p>
        </w:tc>
        <w:tc>
          <w:tcPr>
            <w:tcW w:w="6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含税控制单价</w:t>
            </w:r>
          </w:p>
        </w:tc>
        <w:tc>
          <w:tcPr>
            <w:tcW w:w="7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小计</w:t>
            </w:r>
          </w:p>
        </w:tc>
        <w:tc>
          <w:tcPr>
            <w:tcW w:w="3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税率</w:t>
            </w:r>
          </w:p>
        </w:tc>
      </w:tr>
      <w:tr>
        <w:tblPrEx>
          <w:tblCellMar>
            <w:top w:w="0" w:type="dxa"/>
            <w:left w:w="108" w:type="dxa"/>
            <w:bottom w:w="0" w:type="dxa"/>
            <w:right w:w="108" w:type="dxa"/>
          </w:tblCellMar>
        </w:tblPrEx>
        <w:trPr>
          <w:trHeight w:val="450"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电缆  ZRYJV22-8.7/15KV 3X400</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1212.00</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1136.80</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1377801.60</w:t>
            </w:r>
          </w:p>
        </w:tc>
        <w:tc>
          <w:tcPr>
            <w:tcW w:w="3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450"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电缆ZBN-YJV22-8.7/15kV-3X120</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m</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360.00</w:t>
            </w:r>
          </w:p>
        </w:tc>
        <w:tc>
          <w:tcPr>
            <w:tcW w:w="66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485.77</w:t>
            </w: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174877.20</w:t>
            </w:r>
          </w:p>
        </w:tc>
        <w:tc>
          <w:tcPr>
            <w:tcW w:w="3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255" w:hRule="atLeast"/>
        </w:trPr>
        <w:tc>
          <w:tcPr>
            <w:tcW w:w="2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2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合计：</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55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6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7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1552678.80</w:t>
            </w:r>
          </w:p>
        </w:tc>
        <w:tc>
          <w:tcPr>
            <w:tcW w:w="3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r>
    </w:tbl>
    <w:p>
      <w:pPr>
        <w:widowControl/>
        <w:jc w:val="left"/>
        <w:rPr>
          <w:rFonts w:ascii="仿宋" w:hAnsi="仿宋" w:eastAsia="仿宋"/>
          <w:sz w:val="28"/>
          <w:szCs w:val="28"/>
        </w:rPr>
      </w:pPr>
    </w:p>
    <w:p>
      <w:pPr>
        <w:rPr>
          <w:rFonts w:ascii="仿宋" w:hAnsi="仿宋" w:eastAsia="仿宋"/>
          <w:sz w:val="28"/>
          <w:szCs w:val="28"/>
        </w:rPr>
      </w:pPr>
      <w:r>
        <w:rPr>
          <w:rFonts w:hint="eastAsia" w:ascii="仿宋" w:hAnsi="仿宋" w:eastAsia="仿宋"/>
          <w:b/>
          <w:sz w:val="28"/>
          <w:szCs w:val="28"/>
        </w:rPr>
        <w:t xml:space="preserve">第二包：高、低压柜设备（内线、外线） </w:t>
      </w:r>
      <w:r>
        <w:rPr>
          <w:rFonts w:hint="eastAsia" w:ascii="仿宋" w:hAnsi="仿宋" w:eastAsia="仿宋"/>
          <w:sz w:val="28"/>
          <w:szCs w:val="28"/>
        </w:rPr>
        <w:t>控制总价为：3230186.05元（含税价，其中增值税税率13%）。</w:t>
      </w:r>
      <w:r>
        <w:rPr>
          <w:rFonts w:ascii="仿宋" w:hAnsi="仿宋" w:eastAsia="仿宋"/>
          <w:sz w:val="28"/>
          <w:szCs w:val="28"/>
        </w:rPr>
        <w:t>表中所列单价为含税全费用综合单价，不再计取其他任何费用</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高、低压柜设备（内线、外线）控制价汇总表：</w:t>
      </w:r>
    </w:p>
    <w:tbl>
      <w:tblPr>
        <w:tblStyle w:val="28"/>
        <w:tblW w:w="5000" w:type="pct"/>
        <w:tblInd w:w="0" w:type="dxa"/>
        <w:tblLayout w:type="fixed"/>
        <w:tblCellMar>
          <w:top w:w="0" w:type="dxa"/>
          <w:left w:w="108" w:type="dxa"/>
          <w:bottom w:w="0" w:type="dxa"/>
          <w:right w:w="108" w:type="dxa"/>
        </w:tblCellMar>
      </w:tblPr>
      <w:tblGrid>
        <w:gridCol w:w="534"/>
        <w:gridCol w:w="3969"/>
        <w:gridCol w:w="708"/>
        <w:gridCol w:w="990"/>
        <w:gridCol w:w="1421"/>
        <w:gridCol w:w="1664"/>
      </w:tblGrid>
      <w:tr>
        <w:tblPrEx>
          <w:tblCellMar>
            <w:top w:w="0" w:type="dxa"/>
            <w:left w:w="108" w:type="dxa"/>
            <w:bottom w:w="0" w:type="dxa"/>
            <w:right w:w="108" w:type="dxa"/>
          </w:tblCellMar>
        </w:tblPrEx>
        <w:trPr>
          <w:trHeight w:val="375" w:hRule="atLeast"/>
        </w:trPr>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序号</w:t>
            </w:r>
          </w:p>
        </w:tc>
        <w:tc>
          <w:tcPr>
            <w:tcW w:w="21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明细</w:t>
            </w:r>
          </w:p>
        </w:tc>
        <w:tc>
          <w:tcPr>
            <w:tcW w:w="38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单位</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数量</w:t>
            </w:r>
          </w:p>
        </w:tc>
        <w:tc>
          <w:tcPr>
            <w:tcW w:w="7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金额（元）</w:t>
            </w:r>
          </w:p>
        </w:tc>
        <w:tc>
          <w:tcPr>
            <w:tcW w:w="8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kern w:val="0"/>
                <w:sz w:val="24"/>
                <w:szCs w:val="24"/>
              </w:rPr>
            </w:pPr>
            <w:r>
              <w:rPr>
                <w:rFonts w:hint="eastAsia" w:ascii="仿宋" w:hAnsi="仿宋" w:eastAsia="仿宋" w:cs="Arial"/>
                <w:b/>
                <w:kern w:val="0"/>
                <w:sz w:val="24"/>
                <w:szCs w:val="24"/>
              </w:rPr>
              <w:t>税率</w:t>
            </w:r>
          </w:p>
        </w:tc>
      </w:tr>
      <w:tr>
        <w:tblPrEx>
          <w:tblCellMar>
            <w:top w:w="0" w:type="dxa"/>
            <w:left w:w="108" w:type="dxa"/>
            <w:bottom w:w="0" w:type="dxa"/>
            <w:right w:w="108" w:type="dxa"/>
          </w:tblCellMar>
        </w:tblPrEx>
        <w:trPr>
          <w:trHeight w:val="37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1</w:t>
            </w:r>
          </w:p>
        </w:tc>
        <w:tc>
          <w:tcPr>
            <w:tcW w:w="213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内线设备</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项</w:t>
            </w:r>
          </w:p>
        </w:tc>
        <w:tc>
          <w:tcPr>
            <w:tcW w:w="5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7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2953452.97</w:t>
            </w:r>
          </w:p>
        </w:tc>
        <w:tc>
          <w:tcPr>
            <w:tcW w:w="89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37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2</w:t>
            </w:r>
          </w:p>
        </w:tc>
        <w:tc>
          <w:tcPr>
            <w:tcW w:w="213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外线设备</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项</w:t>
            </w:r>
          </w:p>
        </w:tc>
        <w:tc>
          <w:tcPr>
            <w:tcW w:w="5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7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276733.08</w:t>
            </w:r>
          </w:p>
        </w:tc>
        <w:tc>
          <w:tcPr>
            <w:tcW w:w="89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r>
        <w:tblPrEx>
          <w:tblCellMar>
            <w:top w:w="0" w:type="dxa"/>
            <w:left w:w="108" w:type="dxa"/>
            <w:bottom w:w="0" w:type="dxa"/>
            <w:right w:w="108" w:type="dxa"/>
          </w:tblCellMar>
        </w:tblPrEx>
        <w:trPr>
          <w:trHeight w:val="375"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kern w:val="0"/>
                <w:sz w:val="24"/>
                <w:szCs w:val="24"/>
              </w:rPr>
              <w:t>3</w:t>
            </w:r>
          </w:p>
        </w:tc>
        <w:tc>
          <w:tcPr>
            <w:tcW w:w="213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合计</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p>
        </w:tc>
        <w:tc>
          <w:tcPr>
            <w:tcW w:w="53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p>
        </w:tc>
        <w:tc>
          <w:tcPr>
            <w:tcW w:w="76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3230186.05</w:t>
            </w:r>
          </w:p>
        </w:tc>
        <w:tc>
          <w:tcPr>
            <w:tcW w:w="89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r>
    </w:tbl>
    <w:p>
      <w:pPr>
        <w:rPr>
          <w:rFonts w:ascii="仿宋" w:hAnsi="仿宋" w:eastAsia="仿宋"/>
          <w:sz w:val="28"/>
          <w:szCs w:val="28"/>
        </w:rPr>
      </w:pPr>
      <w:r>
        <w:rPr>
          <w:rFonts w:hint="eastAsia" w:ascii="仿宋" w:hAnsi="仿宋" w:eastAsia="仿宋"/>
          <w:sz w:val="28"/>
          <w:szCs w:val="28"/>
        </w:rPr>
        <w:t>内线设备控制价清单：</w:t>
      </w:r>
    </w:p>
    <w:tbl>
      <w:tblPr>
        <w:tblStyle w:val="28"/>
        <w:tblW w:w="5000" w:type="pct"/>
        <w:tblInd w:w="0" w:type="dxa"/>
        <w:tblLayout w:type="autofit"/>
        <w:tblCellMar>
          <w:top w:w="0" w:type="dxa"/>
          <w:left w:w="108" w:type="dxa"/>
          <w:bottom w:w="0" w:type="dxa"/>
          <w:right w:w="108" w:type="dxa"/>
        </w:tblCellMar>
      </w:tblPr>
      <w:tblGrid>
        <w:gridCol w:w="589"/>
        <w:gridCol w:w="3889"/>
        <w:gridCol w:w="717"/>
        <w:gridCol w:w="1049"/>
        <w:gridCol w:w="1382"/>
        <w:gridCol w:w="1660"/>
      </w:tblGrid>
      <w:tr>
        <w:tblPrEx>
          <w:tblCellMar>
            <w:top w:w="0" w:type="dxa"/>
            <w:left w:w="108" w:type="dxa"/>
            <w:bottom w:w="0" w:type="dxa"/>
            <w:right w:w="108" w:type="dxa"/>
          </w:tblCellMar>
        </w:tblPrEx>
        <w:trPr>
          <w:trHeight w:val="255" w:hRule="atLeast"/>
        </w:trPr>
        <w:tc>
          <w:tcPr>
            <w:tcW w:w="3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序号</w:t>
            </w:r>
          </w:p>
        </w:tc>
        <w:tc>
          <w:tcPr>
            <w:tcW w:w="20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项目名称</w:t>
            </w:r>
            <w:r>
              <w:rPr>
                <w:rFonts w:hint="eastAsia" w:ascii="仿宋" w:hAnsi="仿宋" w:eastAsia="仿宋" w:cs="Arial"/>
                <w:b/>
                <w:bCs/>
                <w:kern w:val="0"/>
                <w:sz w:val="24"/>
                <w:szCs w:val="24"/>
              </w:rPr>
              <w:br w:type="textWrapping"/>
            </w:r>
            <w:r>
              <w:rPr>
                <w:rFonts w:hint="eastAsia" w:ascii="仿宋" w:hAnsi="仿宋" w:eastAsia="仿宋" w:cs="Arial"/>
                <w:b/>
                <w:bCs/>
                <w:kern w:val="0"/>
                <w:sz w:val="24"/>
                <w:szCs w:val="24"/>
              </w:rPr>
              <w:t>项目特征</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计量</w:t>
            </w:r>
            <w:r>
              <w:rPr>
                <w:rFonts w:hint="eastAsia" w:ascii="仿宋" w:hAnsi="仿宋" w:eastAsia="仿宋" w:cs="Arial"/>
                <w:b/>
                <w:bCs/>
                <w:kern w:val="0"/>
                <w:sz w:val="24"/>
                <w:szCs w:val="24"/>
              </w:rPr>
              <w:br w:type="textWrapping"/>
            </w:r>
            <w:r>
              <w:rPr>
                <w:rFonts w:hint="eastAsia" w:ascii="仿宋" w:hAnsi="仿宋" w:eastAsia="仿宋" w:cs="Arial"/>
                <w:b/>
                <w:bCs/>
                <w:kern w:val="0"/>
                <w:sz w:val="24"/>
                <w:szCs w:val="24"/>
              </w:rPr>
              <w:t>单位</w:t>
            </w:r>
          </w:p>
        </w:tc>
        <w:tc>
          <w:tcPr>
            <w:tcW w:w="5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工程量</w:t>
            </w:r>
          </w:p>
        </w:tc>
        <w:tc>
          <w:tcPr>
            <w:tcW w:w="163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金额（元）</w:t>
            </w:r>
          </w:p>
        </w:tc>
      </w:tr>
      <w:tr>
        <w:tblPrEx>
          <w:tblCellMar>
            <w:top w:w="0" w:type="dxa"/>
            <w:left w:w="108" w:type="dxa"/>
            <w:bottom w:w="0" w:type="dxa"/>
            <w:right w:w="108" w:type="dxa"/>
          </w:tblCellMar>
        </w:tblPrEx>
        <w:trPr>
          <w:trHeight w:val="255" w:hRule="atLeast"/>
        </w:trPr>
        <w:tc>
          <w:tcPr>
            <w:tcW w:w="3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20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3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56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7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控制单价</w:t>
            </w:r>
          </w:p>
        </w:tc>
        <w:tc>
          <w:tcPr>
            <w:tcW w:w="89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控制合价</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双电源动力照明配电箱</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4230.54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4230.54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轴流风机Φ500，0.75KW</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2.00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423.05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846.10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动力照明配电箱</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2644.04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2644.04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动力照明配电箱</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3084.71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3084.71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SCB14-800KVA 铜线圈、不锈钢外壳</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4.00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141736.43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566945.72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6</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1#主变进线柜D01</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79889.52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79889.52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7</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1#电容器柜D02</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57377.26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57377.26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8</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出线柜D03</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9</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出线柜D04</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分段柜D05</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73217.93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73217.93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11</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出线柜D06</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45521.99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45521.99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出线柜D07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13</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2#电容器柜D08</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57377.26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57377.26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14</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2#主变进线柜D09</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79889.52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79889.52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15</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3#主变进线柜D10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79889.52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79889.52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16</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3#电容器柜D11</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57377.26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57377.26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17</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出线柜D12</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18</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出线柜D13</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19</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出线柜D14</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52373.35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52373.35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20</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分段柜D15</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73217.93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73217.93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21</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出线柜D16</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22</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出线柜D17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54317.62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23</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4#电容器柜D18</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57377.26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57377.26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24</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4#主变进线柜D19</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79889.52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79889.52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25</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电缆分支箱（一进六出,1~6、8#FZX)</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7.00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11491.72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80442.04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26</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电缆分支箱（一进六出,7#、9#FZX)</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2.00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11491.72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22983.44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27</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电缆分支箱（一进六出,CDZFZX1)</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28</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电缆分支箱（一进六出,CDZFZX2)</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29</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电缆分支箱（一进六出,CDZFZX3)</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30</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电缆分支箱（一进六出,CDZFZX4)</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31</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电缆分支箱（一进六出,CDZFZX5)</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32</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电缆分支箱（一进六出,CDZFZX6)</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33</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电缆分支箱（一进六出,CDZFZX7)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10838.76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34</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电缆分支箱（一进四出,CDZFZX8)</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9201.39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9201.39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35</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电缆分支箱（一进四出,CDZFZX9)</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9169.52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9169.52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36</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高压PT柜G01/G08</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2.00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42617.10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85234.20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37</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高压进线柜G02/G07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2.00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39490.00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78980.00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38</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高压出线柜G03/G04/G05/G06</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4.00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37317.53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149270.12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39</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xml:space="preserve">  DTU装置</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2.00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25770.82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51541.64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40</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物业间进线柜D01</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23661.58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23661.58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41</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物业间出线柜D02</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30473.09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30473.09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42</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物业间出线柜D03</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35238.41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35238.41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43</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物业间进线柜D04</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23661.58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23661.58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44</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物业间出线柜D05</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30473.09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30473.09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45</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物业间出线柜D06</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35421.10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35421.10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46</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物业间进线柜D07</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23661.58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23661.58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47</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物业间出线柜D08</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29880.46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29880.46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48</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物业间出线柜D09</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30796.81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30796.81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49</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物业间进线柜D10</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23661.58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23661.58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50</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物业间出线柜D11</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29774.72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29774.72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51</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物业间出线柜D12</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31277.93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31277.93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52</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单相12表位电表箱</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75.00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3650.13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273759.75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53</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单相9表位电表箱</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3.00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2961.75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8885.25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54</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单相6表位电表箱</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2333.50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2333.50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55</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三相1表位电表箱</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2.00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2046.30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4092.60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56</w:t>
            </w:r>
          </w:p>
        </w:tc>
        <w:tc>
          <w:tcPr>
            <w:tcW w:w="209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三相1表位电表箱250A互感器式</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6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1.00</w:t>
            </w:r>
          </w:p>
        </w:tc>
        <w:tc>
          <w:tcPr>
            <w:tcW w:w="744" w:type="pct"/>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2333.50 </w:t>
            </w:r>
          </w:p>
        </w:tc>
        <w:tc>
          <w:tcPr>
            <w:tcW w:w="895"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Arial"/>
                <w:kern w:val="0"/>
                <w:sz w:val="24"/>
                <w:szCs w:val="24"/>
              </w:rPr>
            </w:pPr>
            <w:r>
              <w:rPr>
                <w:rFonts w:hint="eastAsia" w:ascii="仿宋" w:hAnsi="仿宋" w:eastAsia="仿宋" w:cs="Arial"/>
                <w:kern w:val="0"/>
                <w:sz w:val="24"/>
                <w:szCs w:val="24"/>
              </w:rPr>
              <w:t xml:space="preserve">2333.50 </w:t>
            </w:r>
          </w:p>
        </w:tc>
      </w:tr>
      <w:tr>
        <w:tblPrEx>
          <w:tblCellMar>
            <w:top w:w="0" w:type="dxa"/>
            <w:left w:w="108" w:type="dxa"/>
            <w:bottom w:w="0" w:type="dxa"/>
            <w:right w:w="108" w:type="dxa"/>
          </w:tblCellMar>
        </w:tblPrEx>
        <w:trPr>
          <w:trHeight w:val="255" w:hRule="atLeast"/>
        </w:trPr>
        <w:tc>
          <w:tcPr>
            <w:tcW w:w="31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2094" w:type="pct"/>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Arial"/>
                <w:kern w:val="0"/>
                <w:sz w:val="24"/>
                <w:szCs w:val="24"/>
              </w:rPr>
            </w:pPr>
            <w:r>
              <w:rPr>
                <w:rFonts w:hint="eastAsia" w:ascii="仿宋" w:hAnsi="仿宋" w:eastAsia="仿宋" w:cs="Arial"/>
                <w:kern w:val="0"/>
                <w:sz w:val="24"/>
                <w:szCs w:val="24"/>
              </w:rPr>
              <w:t>合计</w:t>
            </w:r>
          </w:p>
        </w:tc>
        <w:tc>
          <w:tcPr>
            <w:tcW w:w="386" w:type="pct"/>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565" w:type="pct"/>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744" w:type="pct"/>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895" w:type="pct"/>
            <w:tcBorders>
              <w:top w:val="nil"/>
              <w:left w:val="nil"/>
              <w:bottom w:val="single" w:color="auto" w:sz="4" w:space="0"/>
              <w:right w:val="single" w:color="auto" w:sz="4" w:space="0"/>
            </w:tcBorders>
            <w:shd w:val="clear" w:color="auto" w:fill="auto"/>
            <w:noWrap/>
            <w:vAlign w:val="bottom"/>
          </w:tcPr>
          <w:p>
            <w:pPr>
              <w:widowControl/>
              <w:jc w:val="right"/>
              <w:rPr>
                <w:rFonts w:ascii="仿宋" w:hAnsi="仿宋" w:eastAsia="仿宋" w:cs="Arial"/>
                <w:kern w:val="0"/>
                <w:sz w:val="24"/>
                <w:szCs w:val="24"/>
              </w:rPr>
            </w:pPr>
            <w:r>
              <w:rPr>
                <w:rFonts w:ascii="仿宋" w:hAnsi="仿宋" w:eastAsia="仿宋" w:cs="Arial"/>
                <w:kern w:val="0"/>
                <w:sz w:val="24"/>
                <w:szCs w:val="24"/>
              </w:rPr>
              <w:t xml:space="preserve">2953452.97 </w:t>
            </w:r>
          </w:p>
        </w:tc>
      </w:tr>
    </w:tbl>
    <w:p>
      <w:pPr>
        <w:rPr>
          <w:rFonts w:ascii="仿宋" w:hAnsi="仿宋" w:eastAsia="仿宋"/>
          <w:sz w:val="28"/>
          <w:szCs w:val="28"/>
        </w:rPr>
      </w:pPr>
      <w:r>
        <w:rPr>
          <w:rFonts w:hint="eastAsia" w:ascii="仿宋" w:hAnsi="仿宋" w:eastAsia="仿宋"/>
          <w:sz w:val="28"/>
          <w:szCs w:val="28"/>
        </w:rPr>
        <w:t>外线设备控制价清单：</w:t>
      </w:r>
    </w:p>
    <w:tbl>
      <w:tblPr>
        <w:tblStyle w:val="28"/>
        <w:tblW w:w="5000" w:type="pct"/>
        <w:tblInd w:w="0" w:type="dxa"/>
        <w:tblLayout w:type="autofit"/>
        <w:tblCellMar>
          <w:top w:w="0" w:type="dxa"/>
          <w:left w:w="108" w:type="dxa"/>
          <w:bottom w:w="0" w:type="dxa"/>
          <w:right w:w="108" w:type="dxa"/>
        </w:tblCellMar>
      </w:tblPr>
      <w:tblGrid>
        <w:gridCol w:w="536"/>
        <w:gridCol w:w="3966"/>
        <w:gridCol w:w="708"/>
        <w:gridCol w:w="994"/>
        <w:gridCol w:w="1451"/>
        <w:gridCol w:w="1631"/>
      </w:tblGrid>
      <w:tr>
        <w:tblPrEx>
          <w:tblCellMar>
            <w:top w:w="0" w:type="dxa"/>
            <w:left w:w="108" w:type="dxa"/>
            <w:bottom w:w="0" w:type="dxa"/>
            <w:right w:w="108" w:type="dxa"/>
          </w:tblCellMar>
        </w:tblPrEx>
        <w:trPr>
          <w:trHeight w:val="255" w:hRule="atLeast"/>
        </w:trPr>
        <w:tc>
          <w:tcPr>
            <w:tcW w:w="2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序号</w:t>
            </w:r>
          </w:p>
        </w:tc>
        <w:tc>
          <w:tcPr>
            <w:tcW w:w="21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项目名称</w:t>
            </w:r>
            <w:r>
              <w:rPr>
                <w:rFonts w:hint="eastAsia" w:ascii="仿宋" w:hAnsi="仿宋" w:eastAsia="仿宋" w:cs="Arial"/>
                <w:b/>
                <w:bCs/>
                <w:kern w:val="0"/>
                <w:sz w:val="24"/>
                <w:szCs w:val="24"/>
              </w:rPr>
              <w:br w:type="textWrapping"/>
            </w:r>
            <w:r>
              <w:rPr>
                <w:rFonts w:hint="eastAsia" w:ascii="仿宋" w:hAnsi="仿宋" w:eastAsia="仿宋" w:cs="Arial"/>
                <w:b/>
                <w:bCs/>
                <w:kern w:val="0"/>
                <w:sz w:val="24"/>
                <w:szCs w:val="24"/>
              </w:rPr>
              <w:t>项目特征</w:t>
            </w:r>
          </w:p>
        </w:tc>
        <w:tc>
          <w:tcPr>
            <w:tcW w:w="3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计量</w:t>
            </w:r>
            <w:r>
              <w:rPr>
                <w:rFonts w:hint="eastAsia" w:ascii="仿宋" w:hAnsi="仿宋" w:eastAsia="仿宋" w:cs="Arial"/>
                <w:b/>
                <w:bCs/>
                <w:kern w:val="0"/>
                <w:sz w:val="24"/>
                <w:szCs w:val="24"/>
              </w:rPr>
              <w:br w:type="textWrapping"/>
            </w:r>
            <w:r>
              <w:rPr>
                <w:rFonts w:hint="eastAsia" w:ascii="仿宋" w:hAnsi="仿宋" w:eastAsia="仿宋" w:cs="Arial"/>
                <w:b/>
                <w:bCs/>
                <w:kern w:val="0"/>
                <w:sz w:val="24"/>
                <w:szCs w:val="24"/>
              </w:rPr>
              <w:t>单位</w:t>
            </w:r>
          </w:p>
        </w:tc>
        <w:tc>
          <w:tcPr>
            <w:tcW w:w="5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工程量</w:t>
            </w:r>
          </w:p>
        </w:tc>
        <w:tc>
          <w:tcPr>
            <w:tcW w:w="165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金额（元）</w:t>
            </w:r>
          </w:p>
        </w:tc>
      </w:tr>
      <w:tr>
        <w:tblPrEx>
          <w:tblCellMar>
            <w:top w:w="0" w:type="dxa"/>
            <w:left w:w="108" w:type="dxa"/>
            <w:bottom w:w="0" w:type="dxa"/>
            <w:right w:w="108" w:type="dxa"/>
          </w:tblCellMar>
        </w:tblPrEx>
        <w:trPr>
          <w:trHeight w:val="255" w:hRule="atLeast"/>
        </w:trPr>
        <w:tc>
          <w:tcPr>
            <w:tcW w:w="2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21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5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4"/>
                <w:szCs w:val="24"/>
              </w:rPr>
            </w:pPr>
          </w:p>
        </w:tc>
        <w:tc>
          <w:tcPr>
            <w:tcW w:w="78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控制单价</w:t>
            </w:r>
          </w:p>
        </w:tc>
        <w:tc>
          <w:tcPr>
            <w:tcW w:w="87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控制合价</w:t>
            </w:r>
          </w:p>
        </w:tc>
      </w:tr>
      <w:tr>
        <w:tblPrEx>
          <w:tblCellMar>
            <w:top w:w="0" w:type="dxa"/>
            <w:left w:w="108" w:type="dxa"/>
            <w:bottom w:w="0" w:type="dxa"/>
            <w:right w:w="108" w:type="dxa"/>
          </w:tblCellMar>
        </w:tblPrEx>
        <w:trPr>
          <w:trHeight w:val="420" w:hRule="atLeast"/>
        </w:trPr>
        <w:tc>
          <w:tcPr>
            <w:tcW w:w="28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w:t>
            </w:r>
          </w:p>
        </w:tc>
        <w:tc>
          <w:tcPr>
            <w:tcW w:w="213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室外高压环网柜6J 10KV</w:t>
            </w:r>
          </w:p>
        </w:tc>
        <w:tc>
          <w:tcPr>
            <w:tcW w:w="38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台</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1.00</w:t>
            </w:r>
          </w:p>
        </w:tc>
        <w:tc>
          <w:tcPr>
            <w:tcW w:w="78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276733.08</w:t>
            </w:r>
          </w:p>
        </w:tc>
        <w:tc>
          <w:tcPr>
            <w:tcW w:w="87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276733.08</w:t>
            </w:r>
          </w:p>
        </w:tc>
      </w:tr>
      <w:tr>
        <w:tblPrEx>
          <w:tblCellMar>
            <w:top w:w="0" w:type="dxa"/>
            <w:left w:w="108" w:type="dxa"/>
            <w:bottom w:w="0" w:type="dxa"/>
            <w:right w:w="108" w:type="dxa"/>
          </w:tblCellMar>
        </w:tblPrEx>
        <w:trPr>
          <w:trHeight w:val="255" w:hRule="atLeast"/>
        </w:trPr>
        <w:tc>
          <w:tcPr>
            <w:tcW w:w="28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213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合计</w:t>
            </w:r>
          </w:p>
        </w:tc>
        <w:tc>
          <w:tcPr>
            <w:tcW w:w="38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53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78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p>
        </w:tc>
        <w:tc>
          <w:tcPr>
            <w:tcW w:w="87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276733.08</w:t>
            </w:r>
          </w:p>
        </w:tc>
      </w:tr>
    </w:tbl>
    <w:p>
      <w:pPr>
        <w:widowControl/>
        <w:jc w:val="left"/>
        <w:rPr>
          <w:rFonts w:ascii="黑体" w:hAnsi="黑体" w:eastAsia="黑体" w:cs="黑体"/>
          <w:bCs/>
          <w:sz w:val="32"/>
          <w:szCs w:val="32"/>
        </w:rPr>
      </w:pPr>
      <w:r>
        <w:rPr>
          <w:rFonts w:ascii="黑体" w:hAnsi="黑体" w:eastAsia="黑体" w:cs="黑体"/>
          <w:bCs/>
          <w:sz w:val="32"/>
          <w:szCs w:val="32"/>
        </w:rPr>
        <w:br w:type="page"/>
      </w:r>
    </w:p>
    <w:bookmarkEnd w:id="19"/>
    <w:p>
      <w:pPr>
        <w:widowControl/>
        <w:autoSpaceDE w:val="0"/>
        <w:autoSpaceDN w:val="0"/>
        <w:adjustRightInd w:val="0"/>
        <w:spacing w:line="560" w:lineRule="exact"/>
        <w:rPr>
          <w:rStyle w:val="51"/>
          <w:rFonts w:cs="仿宋"/>
          <w:sz w:val="24"/>
          <w:szCs w:val="24"/>
        </w:rPr>
      </w:pPr>
      <w:bookmarkStart w:id="29" w:name="_Toc152042580"/>
      <w:bookmarkStart w:id="30" w:name="_Toc247527831"/>
      <w:bookmarkStart w:id="31" w:name="_Toc247514283"/>
      <w:bookmarkStart w:id="32" w:name="_Toc144974860"/>
      <w:bookmarkStart w:id="33" w:name="_Toc300835213"/>
      <w:bookmarkStart w:id="34" w:name="_Toc152045791"/>
      <w:r>
        <w:rPr>
          <w:rStyle w:val="51"/>
          <w:rFonts w:hint="eastAsia" w:cs="仿宋"/>
          <w:sz w:val="24"/>
          <w:szCs w:val="24"/>
        </w:rPr>
        <w:t>附件</w:t>
      </w:r>
    </w:p>
    <w:p>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29"/>
      <w:bookmarkEnd w:id="30"/>
      <w:bookmarkEnd w:id="31"/>
      <w:bookmarkEnd w:id="32"/>
      <w:bookmarkEnd w:id="33"/>
      <w:bookmarkEnd w:id="34"/>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供应商名称：</w:t>
      </w:r>
    </w:p>
    <w:p>
      <w:pPr>
        <w:spacing w:line="560" w:lineRule="exact"/>
        <w:rPr>
          <w:rFonts w:ascii="仿宋" w:hAnsi="仿宋" w:eastAsia="仿宋" w:cs="仿宋"/>
          <w:sz w:val="28"/>
          <w:szCs w:val="28"/>
        </w:rPr>
      </w:pPr>
      <w:r>
        <w:rPr>
          <w:rFonts w:hint="eastAsia" w:ascii="仿宋" w:hAnsi="仿宋" w:eastAsia="仿宋" w:cs="仿宋"/>
          <w:sz w:val="28"/>
          <w:szCs w:val="28"/>
        </w:rPr>
        <w:t>单位性质：</w:t>
      </w:r>
    </w:p>
    <w:p>
      <w:pPr>
        <w:spacing w:line="560" w:lineRule="exact"/>
        <w:rPr>
          <w:rFonts w:ascii="仿宋" w:hAnsi="仿宋" w:eastAsia="仿宋" w:cs="仿宋"/>
          <w:sz w:val="28"/>
          <w:szCs w:val="28"/>
        </w:rPr>
      </w:pPr>
      <w:r>
        <w:rPr>
          <w:rFonts w:hint="eastAsia" w:ascii="仿宋" w:hAnsi="仿宋" w:eastAsia="仿宋" w:cs="仿宋"/>
          <w:sz w:val="28"/>
          <w:szCs w:val="28"/>
        </w:rPr>
        <w:t>地址：</w:t>
      </w:r>
    </w:p>
    <w:p>
      <w:pPr>
        <w:spacing w:line="560" w:lineRule="exact"/>
        <w:rPr>
          <w:rFonts w:ascii="仿宋" w:hAnsi="仿宋" w:eastAsia="仿宋" w:cs="仿宋"/>
          <w:sz w:val="28"/>
          <w:szCs w:val="28"/>
        </w:rPr>
      </w:pPr>
      <w:r>
        <w:rPr>
          <w:rFonts w:hint="eastAsia" w:ascii="仿宋" w:hAnsi="仿宋" w:eastAsia="仿宋" w:cs="仿宋"/>
          <w:sz w:val="28"/>
          <w:szCs w:val="28"/>
        </w:rPr>
        <w:t>成立时间：年月日</w:t>
      </w:r>
    </w:p>
    <w:p>
      <w:pPr>
        <w:spacing w:line="560" w:lineRule="exact"/>
        <w:rPr>
          <w:rFonts w:ascii="仿宋" w:hAnsi="仿宋" w:eastAsia="仿宋" w:cs="仿宋"/>
          <w:sz w:val="28"/>
          <w:szCs w:val="28"/>
        </w:rPr>
      </w:pPr>
      <w:r>
        <w:rPr>
          <w:rFonts w:hint="eastAsia" w:ascii="仿宋" w:hAnsi="仿宋" w:eastAsia="仿宋" w:cs="仿宋"/>
          <w:sz w:val="28"/>
          <w:szCs w:val="28"/>
        </w:rPr>
        <w:t>经营期限：</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姓名： 性别： 年龄：职务：</w:t>
      </w:r>
    </w:p>
    <w:p>
      <w:pPr>
        <w:spacing w:line="560" w:lineRule="exact"/>
        <w:rPr>
          <w:rFonts w:ascii="仿宋" w:hAnsi="仿宋" w:eastAsia="仿宋" w:cs="仿宋"/>
          <w:sz w:val="28"/>
          <w:szCs w:val="28"/>
        </w:rPr>
      </w:pPr>
      <w:r>
        <w:rPr>
          <w:rFonts w:hint="eastAsia" w:ascii="仿宋" w:hAnsi="仿宋" w:eastAsia="仿宋" w:cs="仿宋"/>
          <w:sz w:val="28"/>
          <w:szCs w:val="28"/>
        </w:rPr>
        <w:t>系 （供应商名称）的法定代表人。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年月 日           </w:t>
      </w:r>
    </w:p>
    <w:p>
      <w:pPr>
        <w:widowControl/>
        <w:autoSpaceDE w:val="0"/>
        <w:autoSpaceDN w:val="0"/>
        <w:adjustRightInd w:val="0"/>
        <w:spacing w:line="560" w:lineRule="exact"/>
        <w:rPr>
          <w:rStyle w:val="51"/>
          <w:rFonts w:cs="仿宋"/>
          <w:sz w:val="24"/>
          <w:szCs w:val="24"/>
        </w:rPr>
      </w:pPr>
      <w:r>
        <w:rPr>
          <w:rStyle w:val="51"/>
          <w:rFonts w:hint="eastAsia" w:cs="仿宋"/>
          <w:sz w:val="24"/>
          <w:szCs w:val="24"/>
        </w:rPr>
        <w:br w:type="page"/>
      </w:r>
      <w:r>
        <w:rPr>
          <w:rStyle w:val="51"/>
          <w:rFonts w:hint="eastAsia" w:cs="仿宋"/>
          <w:sz w:val="24"/>
          <w:szCs w:val="24"/>
        </w:rPr>
        <w:t>附件</w:t>
      </w:r>
    </w:p>
    <w:p>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51"/>
          <w:rFonts w:hint="eastAsia" w:cs="仿宋"/>
          <w:sz w:val="28"/>
          <w:szCs w:val="28"/>
        </w:rPr>
        <w:t>：</w:t>
      </w:r>
    </w:p>
    <w:p>
      <w:pPr>
        <w:widowControl/>
        <w:autoSpaceDE w:val="0"/>
        <w:autoSpaceDN w:val="0"/>
        <w:adjustRightInd w:val="0"/>
        <w:spacing w:line="560" w:lineRule="exact"/>
        <w:ind w:firstLine="480"/>
        <w:rPr>
          <w:rFonts w:ascii="仿宋" w:hAnsi="仿宋" w:eastAsia="仿宋" w:cs="仿宋"/>
          <w:kern w:val="1"/>
          <w:sz w:val="28"/>
          <w:szCs w:val="28"/>
        </w:rPr>
      </w:pPr>
      <w:r>
        <w:rPr>
          <w:rStyle w:val="51"/>
          <w:rFonts w:hint="eastAsia" w:cs="仿宋"/>
          <w:sz w:val="28"/>
          <w:szCs w:val="28"/>
        </w:rPr>
        <w:t>我</w:t>
      </w:r>
      <w:r>
        <w:rPr>
          <w:rFonts w:hint="eastAsia" w:ascii="仿宋" w:hAnsi="仿宋" w:eastAsia="仿宋" w:cs="仿宋"/>
          <w:kern w:val="1"/>
          <w:sz w:val="28"/>
          <w:szCs w:val="28"/>
          <w:u w:val="single"/>
        </w:rPr>
        <w:t xml:space="preserve">   （姓名） </w:t>
      </w:r>
      <w:r>
        <w:rPr>
          <w:rStyle w:val="51"/>
          <w:rFonts w:hint="eastAsia" w:cs="仿宋"/>
          <w:sz w:val="28"/>
          <w:szCs w:val="28"/>
        </w:rPr>
        <w:t>系</w:t>
      </w:r>
      <w:r>
        <w:rPr>
          <w:rFonts w:hint="eastAsia" w:ascii="仿宋" w:hAnsi="仿宋" w:eastAsia="仿宋" w:cs="仿宋"/>
          <w:kern w:val="1"/>
          <w:sz w:val="28"/>
          <w:szCs w:val="28"/>
          <w:u w:val="single"/>
        </w:rPr>
        <w:t xml:space="preserve">    （供应商名称）</w:t>
      </w:r>
      <w:r>
        <w:rPr>
          <w:rStyle w:val="51"/>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51"/>
          <w:rFonts w:hint="eastAsia" w:cs="仿宋"/>
          <w:sz w:val="28"/>
          <w:szCs w:val="28"/>
        </w:rPr>
        <w:t>为我公司本次项目的授权代表，代表我方办理本次报价、签约等相关事宜，签署全部有关的文件、协议、合同并具有法律效力。</w:t>
      </w:r>
    </w:p>
    <w:p>
      <w:pPr>
        <w:widowControl/>
        <w:autoSpaceDE w:val="0"/>
        <w:autoSpaceDN w:val="0"/>
        <w:adjustRightInd w:val="0"/>
        <w:spacing w:line="560" w:lineRule="exact"/>
        <w:ind w:firstLine="480"/>
        <w:rPr>
          <w:rStyle w:val="51"/>
          <w:rFonts w:cs="仿宋"/>
          <w:sz w:val="28"/>
          <w:szCs w:val="28"/>
        </w:rPr>
      </w:pPr>
      <w:r>
        <w:rPr>
          <w:rStyle w:val="51"/>
          <w:rFonts w:hint="eastAsia" w:cs="仿宋"/>
          <w:sz w:val="28"/>
          <w:szCs w:val="28"/>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560" w:lineRule="exact"/>
        <w:ind w:firstLine="480"/>
        <w:rPr>
          <w:rStyle w:val="51"/>
          <w:rFonts w:cs="仿宋"/>
          <w:sz w:val="28"/>
          <w:szCs w:val="28"/>
        </w:rPr>
      </w:pPr>
      <w:r>
        <w:rPr>
          <w:rStyle w:val="51"/>
          <w:rFonts w:hint="eastAsia" w:cs="仿宋"/>
          <w:sz w:val="28"/>
          <w:szCs w:val="28"/>
        </w:rPr>
        <w:t>被授权代表无权转让委托权。特此授权。</w:t>
      </w:r>
    </w:p>
    <w:p>
      <w:pPr>
        <w:widowControl/>
        <w:autoSpaceDE w:val="0"/>
        <w:autoSpaceDN w:val="0"/>
        <w:adjustRightInd w:val="0"/>
        <w:spacing w:line="560" w:lineRule="exact"/>
        <w:ind w:firstLine="480"/>
        <w:rPr>
          <w:rFonts w:ascii="仿宋" w:hAnsi="仿宋" w:eastAsia="仿宋" w:cs="仿宋"/>
          <w:kern w:val="1"/>
          <w:sz w:val="28"/>
          <w:szCs w:val="28"/>
        </w:rPr>
      </w:pPr>
      <w:r>
        <w:rPr>
          <w:rStyle w:val="51"/>
          <w:rFonts w:hint="eastAsia" w:cs="仿宋"/>
          <w:sz w:val="28"/>
          <w:szCs w:val="28"/>
        </w:rPr>
        <w:t>本授权委托书于年月日起签字生效,特此声明。</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rPr>
          <w:rStyle w:val="51"/>
          <w:rFonts w:cs="仿宋"/>
          <w:sz w:val="28"/>
          <w:szCs w:val="28"/>
        </w:rPr>
      </w:pPr>
      <w:r>
        <w:rPr>
          <w:rStyle w:val="51"/>
          <w:rFonts w:hint="eastAsia" w:cs="仿宋"/>
          <w:sz w:val="28"/>
          <w:szCs w:val="28"/>
        </w:rPr>
        <w:t>被授权代表姓名：             性 别：              年 龄：</w:t>
      </w:r>
    </w:p>
    <w:p>
      <w:pPr>
        <w:widowControl/>
        <w:autoSpaceDE w:val="0"/>
        <w:autoSpaceDN w:val="0"/>
        <w:adjustRightInd w:val="0"/>
        <w:spacing w:line="560" w:lineRule="exact"/>
        <w:rPr>
          <w:rStyle w:val="51"/>
          <w:rFonts w:cs="仿宋"/>
          <w:sz w:val="28"/>
          <w:szCs w:val="28"/>
        </w:rPr>
      </w:pPr>
      <w:r>
        <w:rPr>
          <w:rStyle w:val="51"/>
          <w:rFonts w:hint="eastAsia" w:cs="仿宋"/>
          <w:sz w:val="28"/>
          <w:szCs w:val="28"/>
        </w:rPr>
        <w:t>单  位：                     部 门：              职 务：</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供应商（公章）：</w:t>
      </w:r>
    </w:p>
    <w:p>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法定代表人（签字）：</w:t>
      </w:r>
    </w:p>
    <w:p>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日 期：      年   月   日</w:t>
      </w:r>
    </w:p>
    <w:p>
      <w:pPr>
        <w:widowControl/>
        <w:autoSpaceDE w:val="0"/>
        <w:autoSpaceDN w:val="0"/>
        <w:adjustRightInd w:val="0"/>
        <w:spacing w:line="560" w:lineRule="exact"/>
        <w:rPr>
          <w:rFonts w:ascii="仿宋" w:hAnsi="仿宋" w:eastAsia="仿宋" w:cs="仿宋"/>
          <w:sz w:val="24"/>
          <w:szCs w:val="24"/>
        </w:rPr>
      </w:pPr>
      <w:bookmarkStart w:id="35" w:name="_GoBack"/>
      <w:bookmarkEnd w:id="35"/>
    </w:p>
    <w:sectPr>
      <w:footerReference r:id="rId6"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44</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3MTJkOWZlOWQ2NWU4Mzg4ODU5MTUyNzk5YTczZjkifQ=="/>
  </w:docVars>
  <w:rsids>
    <w:rsidRoot w:val="002A068C"/>
    <w:rsid w:val="00000A24"/>
    <w:rsid w:val="000011DC"/>
    <w:rsid w:val="000078D6"/>
    <w:rsid w:val="0001263A"/>
    <w:rsid w:val="0001346E"/>
    <w:rsid w:val="000153E7"/>
    <w:rsid w:val="00015B21"/>
    <w:rsid w:val="00022F25"/>
    <w:rsid w:val="00027C90"/>
    <w:rsid w:val="000367E1"/>
    <w:rsid w:val="00041BBA"/>
    <w:rsid w:val="00043B5D"/>
    <w:rsid w:val="0004725B"/>
    <w:rsid w:val="000526A9"/>
    <w:rsid w:val="00053B19"/>
    <w:rsid w:val="00053DEA"/>
    <w:rsid w:val="000545F4"/>
    <w:rsid w:val="00054E4D"/>
    <w:rsid w:val="00057D5B"/>
    <w:rsid w:val="0006029D"/>
    <w:rsid w:val="00072639"/>
    <w:rsid w:val="00072925"/>
    <w:rsid w:val="000738A5"/>
    <w:rsid w:val="00075401"/>
    <w:rsid w:val="00081413"/>
    <w:rsid w:val="000838DA"/>
    <w:rsid w:val="00083915"/>
    <w:rsid w:val="0008678E"/>
    <w:rsid w:val="00086E61"/>
    <w:rsid w:val="00091713"/>
    <w:rsid w:val="0009478B"/>
    <w:rsid w:val="00095E5A"/>
    <w:rsid w:val="000968D0"/>
    <w:rsid w:val="000A27E6"/>
    <w:rsid w:val="000A5498"/>
    <w:rsid w:val="000A5DA9"/>
    <w:rsid w:val="000A6840"/>
    <w:rsid w:val="000A68FF"/>
    <w:rsid w:val="000B6D30"/>
    <w:rsid w:val="000C537E"/>
    <w:rsid w:val="000C561D"/>
    <w:rsid w:val="000C5A9F"/>
    <w:rsid w:val="000C70FF"/>
    <w:rsid w:val="000C7715"/>
    <w:rsid w:val="000D1DDD"/>
    <w:rsid w:val="000D5EC7"/>
    <w:rsid w:val="000E0F52"/>
    <w:rsid w:val="000E13F9"/>
    <w:rsid w:val="000E190C"/>
    <w:rsid w:val="000E3660"/>
    <w:rsid w:val="000E4C75"/>
    <w:rsid w:val="000E68FA"/>
    <w:rsid w:val="000E7EEA"/>
    <w:rsid w:val="0010179C"/>
    <w:rsid w:val="00116CDF"/>
    <w:rsid w:val="0012476C"/>
    <w:rsid w:val="001310B3"/>
    <w:rsid w:val="00134134"/>
    <w:rsid w:val="001369C5"/>
    <w:rsid w:val="00136D33"/>
    <w:rsid w:val="0013735F"/>
    <w:rsid w:val="001404D8"/>
    <w:rsid w:val="0014169B"/>
    <w:rsid w:val="001422DD"/>
    <w:rsid w:val="00145072"/>
    <w:rsid w:val="00152BDF"/>
    <w:rsid w:val="00154771"/>
    <w:rsid w:val="00164834"/>
    <w:rsid w:val="00170C48"/>
    <w:rsid w:val="00174687"/>
    <w:rsid w:val="00185BF5"/>
    <w:rsid w:val="00192766"/>
    <w:rsid w:val="00192C98"/>
    <w:rsid w:val="00194089"/>
    <w:rsid w:val="00196957"/>
    <w:rsid w:val="001A1A23"/>
    <w:rsid w:val="001B1D52"/>
    <w:rsid w:val="001B3C10"/>
    <w:rsid w:val="001B5E60"/>
    <w:rsid w:val="001B65F3"/>
    <w:rsid w:val="001B7DF1"/>
    <w:rsid w:val="001C0D47"/>
    <w:rsid w:val="001D0BCC"/>
    <w:rsid w:val="001D2BA7"/>
    <w:rsid w:val="001D5B64"/>
    <w:rsid w:val="001D792C"/>
    <w:rsid w:val="001E1D37"/>
    <w:rsid w:val="001E26D1"/>
    <w:rsid w:val="001E4E81"/>
    <w:rsid w:val="001E5062"/>
    <w:rsid w:val="001E5D63"/>
    <w:rsid w:val="001E6C66"/>
    <w:rsid w:val="001E7665"/>
    <w:rsid w:val="001F25D4"/>
    <w:rsid w:val="001F3B6A"/>
    <w:rsid w:val="001F542A"/>
    <w:rsid w:val="001F764F"/>
    <w:rsid w:val="00202D04"/>
    <w:rsid w:val="002033EC"/>
    <w:rsid w:val="002038BA"/>
    <w:rsid w:val="00205D69"/>
    <w:rsid w:val="002108AF"/>
    <w:rsid w:val="00217A53"/>
    <w:rsid w:val="00220411"/>
    <w:rsid w:val="00220C0D"/>
    <w:rsid w:val="0022191D"/>
    <w:rsid w:val="0022306B"/>
    <w:rsid w:val="002230DB"/>
    <w:rsid w:val="00223BD7"/>
    <w:rsid w:val="0022466F"/>
    <w:rsid w:val="00224AC5"/>
    <w:rsid w:val="00224B00"/>
    <w:rsid w:val="0023233E"/>
    <w:rsid w:val="00232E85"/>
    <w:rsid w:val="00237516"/>
    <w:rsid w:val="00237B4F"/>
    <w:rsid w:val="00242C3A"/>
    <w:rsid w:val="0025200A"/>
    <w:rsid w:val="002522B6"/>
    <w:rsid w:val="002554CA"/>
    <w:rsid w:val="002618C8"/>
    <w:rsid w:val="00262280"/>
    <w:rsid w:val="00263EE8"/>
    <w:rsid w:val="00265392"/>
    <w:rsid w:val="002704D5"/>
    <w:rsid w:val="00273059"/>
    <w:rsid w:val="00277738"/>
    <w:rsid w:val="00282C9B"/>
    <w:rsid w:val="00284883"/>
    <w:rsid w:val="002860EF"/>
    <w:rsid w:val="00286691"/>
    <w:rsid w:val="00286D81"/>
    <w:rsid w:val="002870A2"/>
    <w:rsid w:val="002903EF"/>
    <w:rsid w:val="0029173B"/>
    <w:rsid w:val="00291E87"/>
    <w:rsid w:val="00293296"/>
    <w:rsid w:val="00293F02"/>
    <w:rsid w:val="00294078"/>
    <w:rsid w:val="00294C06"/>
    <w:rsid w:val="0029592E"/>
    <w:rsid w:val="00295ABA"/>
    <w:rsid w:val="002A068C"/>
    <w:rsid w:val="002A25C3"/>
    <w:rsid w:val="002A7FBD"/>
    <w:rsid w:val="002B0D61"/>
    <w:rsid w:val="002B0E43"/>
    <w:rsid w:val="002B346F"/>
    <w:rsid w:val="002B5952"/>
    <w:rsid w:val="002B7D8D"/>
    <w:rsid w:val="002C5B77"/>
    <w:rsid w:val="002C6D83"/>
    <w:rsid w:val="002D09AD"/>
    <w:rsid w:val="002D0BA6"/>
    <w:rsid w:val="002E348A"/>
    <w:rsid w:val="002E6073"/>
    <w:rsid w:val="002F188C"/>
    <w:rsid w:val="002F33A1"/>
    <w:rsid w:val="002F4E52"/>
    <w:rsid w:val="00300FDD"/>
    <w:rsid w:val="00310559"/>
    <w:rsid w:val="00310700"/>
    <w:rsid w:val="0031165D"/>
    <w:rsid w:val="00314984"/>
    <w:rsid w:val="00316770"/>
    <w:rsid w:val="00324EF3"/>
    <w:rsid w:val="00325BB2"/>
    <w:rsid w:val="0033014C"/>
    <w:rsid w:val="003305E1"/>
    <w:rsid w:val="00331890"/>
    <w:rsid w:val="0033579B"/>
    <w:rsid w:val="00335CE7"/>
    <w:rsid w:val="00335CFE"/>
    <w:rsid w:val="00337677"/>
    <w:rsid w:val="0034100C"/>
    <w:rsid w:val="00342E79"/>
    <w:rsid w:val="00345F3C"/>
    <w:rsid w:val="00351413"/>
    <w:rsid w:val="0035573F"/>
    <w:rsid w:val="00355C82"/>
    <w:rsid w:val="0035663E"/>
    <w:rsid w:val="00360ACF"/>
    <w:rsid w:val="00362414"/>
    <w:rsid w:val="003635C1"/>
    <w:rsid w:val="00374513"/>
    <w:rsid w:val="0037574C"/>
    <w:rsid w:val="0038245B"/>
    <w:rsid w:val="0039144B"/>
    <w:rsid w:val="003961B0"/>
    <w:rsid w:val="003A043D"/>
    <w:rsid w:val="003B16C5"/>
    <w:rsid w:val="003B2387"/>
    <w:rsid w:val="003B4228"/>
    <w:rsid w:val="003B5CD9"/>
    <w:rsid w:val="003B6BF5"/>
    <w:rsid w:val="003C1CA6"/>
    <w:rsid w:val="003C3454"/>
    <w:rsid w:val="003D1C2D"/>
    <w:rsid w:val="003D2EAD"/>
    <w:rsid w:val="003D3919"/>
    <w:rsid w:val="003D4E8C"/>
    <w:rsid w:val="003D630F"/>
    <w:rsid w:val="003D76E8"/>
    <w:rsid w:val="003E3685"/>
    <w:rsid w:val="003E4C8B"/>
    <w:rsid w:val="003F031B"/>
    <w:rsid w:val="003F4397"/>
    <w:rsid w:val="00400C78"/>
    <w:rsid w:val="00400F47"/>
    <w:rsid w:val="00402253"/>
    <w:rsid w:val="00404905"/>
    <w:rsid w:val="00404B21"/>
    <w:rsid w:val="00411A7B"/>
    <w:rsid w:val="00411CB2"/>
    <w:rsid w:val="00413DCD"/>
    <w:rsid w:val="004151AA"/>
    <w:rsid w:val="00420E31"/>
    <w:rsid w:val="00421DD9"/>
    <w:rsid w:val="00423F2A"/>
    <w:rsid w:val="00432FB1"/>
    <w:rsid w:val="004359BE"/>
    <w:rsid w:val="0043685A"/>
    <w:rsid w:val="00437BD0"/>
    <w:rsid w:val="00441E4E"/>
    <w:rsid w:val="00442503"/>
    <w:rsid w:val="0045133E"/>
    <w:rsid w:val="00453487"/>
    <w:rsid w:val="00453AB1"/>
    <w:rsid w:val="00460D56"/>
    <w:rsid w:val="00462AB7"/>
    <w:rsid w:val="004630EE"/>
    <w:rsid w:val="0046538D"/>
    <w:rsid w:val="00470155"/>
    <w:rsid w:val="00470932"/>
    <w:rsid w:val="0047126C"/>
    <w:rsid w:val="004741A0"/>
    <w:rsid w:val="00474B72"/>
    <w:rsid w:val="004779E6"/>
    <w:rsid w:val="00477AB7"/>
    <w:rsid w:val="00480157"/>
    <w:rsid w:val="00484384"/>
    <w:rsid w:val="00486EBC"/>
    <w:rsid w:val="004914AC"/>
    <w:rsid w:val="00493BE4"/>
    <w:rsid w:val="004968A2"/>
    <w:rsid w:val="004A08F9"/>
    <w:rsid w:val="004A1B73"/>
    <w:rsid w:val="004A3710"/>
    <w:rsid w:val="004A69B7"/>
    <w:rsid w:val="004B0792"/>
    <w:rsid w:val="004B77C4"/>
    <w:rsid w:val="004C3592"/>
    <w:rsid w:val="004C3BB2"/>
    <w:rsid w:val="004D3BB6"/>
    <w:rsid w:val="004D424D"/>
    <w:rsid w:val="004D670A"/>
    <w:rsid w:val="004D7CB1"/>
    <w:rsid w:val="004F0787"/>
    <w:rsid w:val="004F2902"/>
    <w:rsid w:val="005048B8"/>
    <w:rsid w:val="00511276"/>
    <w:rsid w:val="0052176F"/>
    <w:rsid w:val="0052406E"/>
    <w:rsid w:val="00525736"/>
    <w:rsid w:val="00537B86"/>
    <w:rsid w:val="005412D5"/>
    <w:rsid w:val="0054260D"/>
    <w:rsid w:val="005426D4"/>
    <w:rsid w:val="00542B3F"/>
    <w:rsid w:val="00544E15"/>
    <w:rsid w:val="00544E2E"/>
    <w:rsid w:val="00546F1A"/>
    <w:rsid w:val="0054707D"/>
    <w:rsid w:val="00547583"/>
    <w:rsid w:val="005518D6"/>
    <w:rsid w:val="00552F38"/>
    <w:rsid w:val="0055660D"/>
    <w:rsid w:val="00557A72"/>
    <w:rsid w:val="00560E38"/>
    <w:rsid w:val="0056152B"/>
    <w:rsid w:val="00563999"/>
    <w:rsid w:val="005659F9"/>
    <w:rsid w:val="005677F0"/>
    <w:rsid w:val="00572BC9"/>
    <w:rsid w:val="00573183"/>
    <w:rsid w:val="00573B08"/>
    <w:rsid w:val="005746A7"/>
    <w:rsid w:val="00574BF6"/>
    <w:rsid w:val="00580835"/>
    <w:rsid w:val="00582294"/>
    <w:rsid w:val="005826D8"/>
    <w:rsid w:val="00582D92"/>
    <w:rsid w:val="00591523"/>
    <w:rsid w:val="0059465E"/>
    <w:rsid w:val="005A2E51"/>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F23AF"/>
    <w:rsid w:val="005F2E80"/>
    <w:rsid w:val="005F5903"/>
    <w:rsid w:val="006010C0"/>
    <w:rsid w:val="00605231"/>
    <w:rsid w:val="006055AA"/>
    <w:rsid w:val="006055E4"/>
    <w:rsid w:val="006107D4"/>
    <w:rsid w:val="006179CC"/>
    <w:rsid w:val="00627F31"/>
    <w:rsid w:val="00630E4B"/>
    <w:rsid w:val="006321B7"/>
    <w:rsid w:val="00636209"/>
    <w:rsid w:val="00642238"/>
    <w:rsid w:val="00644C4B"/>
    <w:rsid w:val="0065355F"/>
    <w:rsid w:val="00654F08"/>
    <w:rsid w:val="00661724"/>
    <w:rsid w:val="006626EF"/>
    <w:rsid w:val="00663EAB"/>
    <w:rsid w:val="0066419D"/>
    <w:rsid w:val="00667E93"/>
    <w:rsid w:val="00676C80"/>
    <w:rsid w:val="006818C9"/>
    <w:rsid w:val="00686656"/>
    <w:rsid w:val="00695B00"/>
    <w:rsid w:val="00697E94"/>
    <w:rsid w:val="00697F39"/>
    <w:rsid w:val="006A0655"/>
    <w:rsid w:val="006A1697"/>
    <w:rsid w:val="006A215E"/>
    <w:rsid w:val="006A5171"/>
    <w:rsid w:val="006A5798"/>
    <w:rsid w:val="006B03C1"/>
    <w:rsid w:val="006B3266"/>
    <w:rsid w:val="006B4B61"/>
    <w:rsid w:val="006B4F34"/>
    <w:rsid w:val="006C37FE"/>
    <w:rsid w:val="006C60D4"/>
    <w:rsid w:val="006C7358"/>
    <w:rsid w:val="006D23D0"/>
    <w:rsid w:val="006D3F3D"/>
    <w:rsid w:val="006D4414"/>
    <w:rsid w:val="006E3A19"/>
    <w:rsid w:val="006E522C"/>
    <w:rsid w:val="006F0113"/>
    <w:rsid w:val="006F31A4"/>
    <w:rsid w:val="006F453C"/>
    <w:rsid w:val="006F78B5"/>
    <w:rsid w:val="006F7EF9"/>
    <w:rsid w:val="007000D8"/>
    <w:rsid w:val="00701A4E"/>
    <w:rsid w:val="00702E0E"/>
    <w:rsid w:val="00703107"/>
    <w:rsid w:val="00704069"/>
    <w:rsid w:val="00705D12"/>
    <w:rsid w:val="007074CD"/>
    <w:rsid w:val="00715DC8"/>
    <w:rsid w:val="00720495"/>
    <w:rsid w:val="00723113"/>
    <w:rsid w:val="007275DF"/>
    <w:rsid w:val="007313BC"/>
    <w:rsid w:val="0073191D"/>
    <w:rsid w:val="007319C8"/>
    <w:rsid w:val="00732220"/>
    <w:rsid w:val="00732932"/>
    <w:rsid w:val="00732EBB"/>
    <w:rsid w:val="00735862"/>
    <w:rsid w:val="007458C0"/>
    <w:rsid w:val="00753BF1"/>
    <w:rsid w:val="00753EF1"/>
    <w:rsid w:val="007556E3"/>
    <w:rsid w:val="007576A3"/>
    <w:rsid w:val="007608CF"/>
    <w:rsid w:val="00760CDB"/>
    <w:rsid w:val="00761787"/>
    <w:rsid w:val="00762CC6"/>
    <w:rsid w:val="00765EFC"/>
    <w:rsid w:val="00767634"/>
    <w:rsid w:val="0078245C"/>
    <w:rsid w:val="007862E0"/>
    <w:rsid w:val="0078632B"/>
    <w:rsid w:val="0079049E"/>
    <w:rsid w:val="00790FB5"/>
    <w:rsid w:val="00796013"/>
    <w:rsid w:val="00797F34"/>
    <w:rsid w:val="007A0A74"/>
    <w:rsid w:val="007A3906"/>
    <w:rsid w:val="007A4DCA"/>
    <w:rsid w:val="007A4EDD"/>
    <w:rsid w:val="007A5A55"/>
    <w:rsid w:val="007A7017"/>
    <w:rsid w:val="007B078B"/>
    <w:rsid w:val="007B36C4"/>
    <w:rsid w:val="007C3902"/>
    <w:rsid w:val="007C659E"/>
    <w:rsid w:val="007D5AA2"/>
    <w:rsid w:val="007D67AB"/>
    <w:rsid w:val="007E0809"/>
    <w:rsid w:val="007E23A9"/>
    <w:rsid w:val="007E3E59"/>
    <w:rsid w:val="007E5D6C"/>
    <w:rsid w:val="007E6D3C"/>
    <w:rsid w:val="007F12E4"/>
    <w:rsid w:val="007F1F9B"/>
    <w:rsid w:val="007F33A7"/>
    <w:rsid w:val="007F33DE"/>
    <w:rsid w:val="007F363A"/>
    <w:rsid w:val="007F40F6"/>
    <w:rsid w:val="007F4FC5"/>
    <w:rsid w:val="007F50B8"/>
    <w:rsid w:val="007F6920"/>
    <w:rsid w:val="007F7608"/>
    <w:rsid w:val="007F79EB"/>
    <w:rsid w:val="00806909"/>
    <w:rsid w:val="00806F0F"/>
    <w:rsid w:val="00806F5F"/>
    <w:rsid w:val="00816BF1"/>
    <w:rsid w:val="00817DC5"/>
    <w:rsid w:val="00820BD9"/>
    <w:rsid w:val="008240D2"/>
    <w:rsid w:val="0082492A"/>
    <w:rsid w:val="0082683A"/>
    <w:rsid w:val="00831C8D"/>
    <w:rsid w:val="0083291F"/>
    <w:rsid w:val="00833E4B"/>
    <w:rsid w:val="008408FD"/>
    <w:rsid w:val="008413FB"/>
    <w:rsid w:val="00841F06"/>
    <w:rsid w:val="00842F95"/>
    <w:rsid w:val="00845047"/>
    <w:rsid w:val="00845A2F"/>
    <w:rsid w:val="00846DA4"/>
    <w:rsid w:val="0085583F"/>
    <w:rsid w:val="00860959"/>
    <w:rsid w:val="0086155A"/>
    <w:rsid w:val="0086208E"/>
    <w:rsid w:val="008707E3"/>
    <w:rsid w:val="008713B1"/>
    <w:rsid w:val="00871CA8"/>
    <w:rsid w:val="00874DC7"/>
    <w:rsid w:val="008770C1"/>
    <w:rsid w:val="008774CC"/>
    <w:rsid w:val="00880019"/>
    <w:rsid w:val="00881009"/>
    <w:rsid w:val="00882112"/>
    <w:rsid w:val="00886A59"/>
    <w:rsid w:val="00895112"/>
    <w:rsid w:val="00895E20"/>
    <w:rsid w:val="00896E79"/>
    <w:rsid w:val="008A25A4"/>
    <w:rsid w:val="008A33B7"/>
    <w:rsid w:val="008A5DAF"/>
    <w:rsid w:val="008A78AF"/>
    <w:rsid w:val="008A7B2B"/>
    <w:rsid w:val="008B1CDB"/>
    <w:rsid w:val="008B3024"/>
    <w:rsid w:val="008B4923"/>
    <w:rsid w:val="008B54DF"/>
    <w:rsid w:val="008B663B"/>
    <w:rsid w:val="008B6D77"/>
    <w:rsid w:val="008B7904"/>
    <w:rsid w:val="008C415E"/>
    <w:rsid w:val="008C6768"/>
    <w:rsid w:val="008C71D6"/>
    <w:rsid w:val="008C754E"/>
    <w:rsid w:val="008C7DC7"/>
    <w:rsid w:val="008D0BDA"/>
    <w:rsid w:val="008D1CC2"/>
    <w:rsid w:val="008D1D9D"/>
    <w:rsid w:val="008D4C70"/>
    <w:rsid w:val="008E1128"/>
    <w:rsid w:val="008E76A8"/>
    <w:rsid w:val="008F31FF"/>
    <w:rsid w:val="008F54BE"/>
    <w:rsid w:val="008F56A9"/>
    <w:rsid w:val="008F7577"/>
    <w:rsid w:val="009008A0"/>
    <w:rsid w:val="009010EE"/>
    <w:rsid w:val="009059D6"/>
    <w:rsid w:val="0091264D"/>
    <w:rsid w:val="00915B7F"/>
    <w:rsid w:val="009204A7"/>
    <w:rsid w:val="00924980"/>
    <w:rsid w:val="00925CCF"/>
    <w:rsid w:val="00932DDF"/>
    <w:rsid w:val="00933581"/>
    <w:rsid w:val="00934FA6"/>
    <w:rsid w:val="009357A0"/>
    <w:rsid w:val="00935DD1"/>
    <w:rsid w:val="00937DEA"/>
    <w:rsid w:val="009438A6"/>
    <w:rsid w:val="009510C8"/>
    <w:rsid w:val="00952C6B"/>
    <w:rsid w:val="00955D49"/>
    <w:rsid w:val="0095603D"/>
    <w:rsid w:val="00957B8B"/>
    <w:rsid w:val="00961005"/>
    <w:rsid w:val="00962CB1"/>
    <w:rsid w:val="0096445A"/>
    <w:rsid w:val="009659F2"/>
    <w:rsid w:val="0097131C"/>
    <w:rsid w:val="00971502"/>
    <w:rsid w:val="0097165B"/>
    <w:rsid w:val="009747A7"/>
    <w:rsid w:val="00974F9F"/>
    <w:rsid w:val="00975580"/>
    <w:rsid w:val="00982ABC"/>
    <w:rsid w:val="0098536E"/>
    <w:rsid w:val="00991BEA"/>
    <w:rsid w:val="0099591F"/>
    <w:rsid w:val="009A19EE"/>
    <w:rsid w:val="009A1E9A"/>
    <w:rsid w:val="009A4B15"/>
    <w:rsid w:val="009A6353"/>
    <w:rsid w:val="009B0ABF"/>
    <w:rsid w:val="009B19DD"/>
    <w:rsid w:val="009B53A8"/>
    <w:rsid w:val="009B5834"/>
    <w:rsid w:val="009B642F"/>
    <w:rsid w:val="009B64A9"/>
    <w:rsid w:val="009C1F9C"/>
    <w:rsid w:val="009C2D85"/>
    <w:rsid w:val="009C4213"/>
    <w:rsid w:val="009C71CE"/>
    <w:rsid w:val="009D2DC3"/>
    <w:rsid w:val="009D3425"/>
    <w:rsid w:val="009D7683"/>
    <w:rsid w:val="009E28D0"/>
    <w:rsid w:val="009E4C5B"/>
    <w:rsid w:val="009E51F4"/>
    <w:rsid w:val="009F1260"/>
    <w:rsid w:val="009F17AF"/>
    <w:rsid w:val="009F1BC8"/>
    <w:rsid w:val="00A017D5"/>
    <w:rsid w:val="00A02866"/>
    <w:rsid w:val="00A04418"/>
    <w:rsid w:val="00A044FC"/>
    <w:rsid w:val="00A104EC"/>
    <w:rsid w:val="00A1303E"/>
    <w:rsid w:val="00A2369B"/>
    <w:rsid w:val="00A269FB"/>
    <w:rsid w:val="00A31993"/>
    <w:rsid w:val="00A36D9B"/>
    <w:rsid w:val="00A437F9"/>
    <w:rsid w:val="00A46AB4"/>
    <w:rsid w:val="00A50087"/>
    <w:rsid w:val="00A50DB8"/>
    <w:rsid w:val="00A55C2C"/>
    <w:rsid w:val="00A63E21"/>
    <w:rsid w:val="00A64087"/>
    <w:rsid w:val="00A660C6"/>
    <w:rsid w:val="00A73160"/>
    <w:rsid w:val="00A740B3"/>
    <w:rsid w:val="00A7468D"/>
    <w:rsid w:val="00A827F9"/>
    <w:rsid w:val="00A846AC"/>
    <w:rsid w:val="00A8765A"/>
    <w:rsid w:val="00A87DB2"/>
    <w:rsid w:val="00A94E5C"/>
    <w:rsid w:val="00A97948"/>
    <w:rsid w:val="00AA3E79"/>
    <w:rsid w:val="00AA46F2"/>
    <w:rsid w:val="00AB3301"/>
    <w:rsid w:val="00AB5316"/>
    <w:rsid w:val="00AB5710"/>
    <w:rsid w:val="00AC0427"/>
    <w:rsid w:val="00AC0C9D"/>
    <w:rsid w:val="00AC1357"/>
    <w:rsid w:val="00AC1CC4"/>
    <w:rsid w:val="00AC2D6F"/>
    <w:rsid w:val="00AC5419"/>
    <w:rsid w:val="00AD002A"/>
    <w:rsid w:val="00AD0B78"/>
    <w:rsid w:val="00AD486C"/>
    <w:rsid w:val="00AE00E3"/>
    <w:rsid w:val="00AE3E3B"/>
    <w:rsid w:val="00AE65D6"/>
    <w:rsid w:val="00AE74B1"/>
    <w:rsid w:val="00AF0148"/>
    <w:rsid w:val="00AF1DF5"/>
    <w:rsid w:val="00AF48D2"/>
    <w:rsid w:val="00B12660"/>
    <w:rsid w:val="00B13E47"/>
    <w:rsid w:val="00B1444D"/>
    <w:rsid w:val="00B304CD"/>
    <w:rsid w:val="00B346A1"/>
    <w:rsid w:val="00B37478"/>
    <w:rsid w:val="00B43295"/>
    <w:rsid w:val="00B44470"/>
    <w:rsid w:val="00B537EE"/>
    <w:rsid w:val="00B61C4C"/>
    <w:rsid w:val="00B62F9B"/>
    <w:rsid w:val="00B639AE"/>
    <w:rsid w:val="00B73471"/>
    <w:rsid w:val="00B73BD1"/>
    <w:rsid w:val="00B75F31"/>
    <w:rsid w:val="00B7701B"/>
    <w:rsid w:val="00B77908"/>
    <w:rsid w:val="00B810DE"/>
    <w:rsid w:val="00B843E0"/>
    <w:rsid w:val="00B85FB5"/>
    <w:rsid w:val="00B87E10"/>
    <w:rsid w:val="00B90FB5"/>
    <w:rsid w:val="00B93953"/>
    <w:rsid w:val="00B9500B"/>
    <w:rsid w:val="00B956D8"/>
    <w:rsid w:val="00B96A69"/>
    <w:rsid w:val="00B9720A"/>
    <w:rsid w:val="00B97C3E"/>
    <w:rsid w:val="00B97FF7"/>
    <w:rsid w:val="00BA2610"/>
    <w:rsid w:val="00BB26AB"/>
    <w:rsid w:val="00BB3D0F"/>
    <w:rsid w:val="00BB4CE4"/>
    <w:rsid w:val="00BC4BCC"/>
    <w:rsid w:val="00BC5014"/>
    <w:rsid w:val="00BC6BAA"/>
    <w:rsid w:val="00BD2006"/>
    <w:rsid w:val="00BD27A6"/>
    <w:rsid w:val="00BD6FF7"/>
    <w:rsid w:val="00BE00C5"/>
    <w:rsid w:val="00BE0920"/>
    <w:rsid w:val="00BE621B"/>
    <w:rsid w:val="00BE6406"/>
    <w:rsid w:val="00BE6886"/>
    <w:rsid w:val="00BF14CE"/>
    <w:rsid w:val="00BF448B"/>
    <w:rsid w:val="00BF4E2D"/>
    <w:rsid w:val="00C02577"/>
    <w:rsid w:val="00C11FE6"/>
    <w:rsid w:val="00C166B0"/>
    <w:rsid w:val="00C22094"/>
    <w:rsid w:val="00C25074"/>
    <w:rsid w:val="00C2698E"/>
    <w:rsid w:val="00C30987"/>
    <w:rsid w:val="00C37636"/>
    <w:rsid w:val="00C42105"/>
    <w:rsid w:val="00C50B24"/>
    <w:rsid w:val="00C52A03"/>
    <w:rsid w:val="00C5347D"/>
    <w:rsid w:val="00C54488"/>
    <w:rsid w:val="00C55F17"/>
    <w:rsid w:val="00C573F3"/>
    <w:rsid w:val="00C6158E"/>
    <w:rsid w:val="00C61AF1"/>
    <w:rsid w:val="00C627FB"/>
    <w:rsid w:val="00C76A97"/>
    <w:rsid w:val="00C86661"/>
    <w:rsid w:val="00C95B9F"/>
    <w:rsid w:val="00C95F7D"/>
    <w:rsid w:val="00CA0851"/>
    <w:rsid w:val="00CA1546"/>
    <w:rsid w:val="00CA5B77"/>
    <w:rsid w:val="00CB05C5"/>
    <w:rsid w:val="00CC5DA9"/>
    <w:rsid w:val="00CC7B88"/>
    <w:rsid w:val="00CD0434"/>
    <w:rsid w:val="00CD26E9"/>
    <w:rsid w:val="00CD3201"/>
    <w:rsid w:val="00CD5531"/>
    <w:rsid w:val="00CE301F"/>
    <w:rsid w:val="00CE31F8"/>
    <w:rsid w:val="00CE647B"/>
    <w:rsid w:val="00CE7107"/>
    <w:rsid w:val="00CF0F23"/>
    <w:rsid w:val="00CF10C9"/>
    <w:rsid w:val="00CF3AB2"/>
    <w:rsid w:val="00CF4FF3"/>
    <w:rsid w:val="00CF552F"/>
    <w:rsid w:val="00D025AF"/>
    <w:rsid w:val="00D068C3"/>
    <w:rsid w:val="00D108F0"/>
    <w:rsid w:val="00D1140C"/>
    <w:rsid w:val="00D114F3"/>
    <w:rsid w:val="00D17AAB"/>
    <w:rsid w:val="00D203E7"/>
    <w:rsid w:val="00D2670F"/>
    <w:rsid w:val="00D36F55"/>
    <w:rsid w:val="00D40E8E"/>
    <w:rsid w:val="00D46EDF"/>
    <w:rsid w:val="00D47DA5"/>
    <w:rsid w:val="00D53B44"/>
    <w:rsid w:val="00D54E51"/>
    <w:rsid w:val="00D61976"/>
    <w:rsid w:val="00D65D9C"/>
    <w:rsid w:val="00D72FF1"/>
    <w:rsid w:val="00D73E9F"/>
    <w:rsid w:val="00D80B19"/>
    <w:rsid w:val="00D8104F"/>
    <w:rsid w:val="00D8598D"/>
    <w:rsid w:val="00D92EC8"/>
    <w:rsid w:val="00D93246"/>
    <w:rsid w:val="00D944BA"/>
    <w:rsid w:val="00D96BD0"/>
    <w:rsid w:val="00DA491F"/>
    <w:rsid w:val="00DA6876"/>
    <w:rsid w:val="00DA69AF"/>
    <w:rsid w:val="00DA7DD7"/>
    <w:rsid w:val="00DB176F"/>
    <w:rsid w:val="00DB2CD6"/>
    <w:rsid w:val="00DB725B"/>
    <w:rsid w:val="00DB7618"/>
    <w:rsid w:val="00DB789D"/>
    <w:rsid w:val="00DC0F0B"/>
    <w:rsid w:val="00DC16F6"/>
    <w:rsid w:val="00DC3DD4"/>
    <w:rsid w:val="00DC47D7"/>
    <w:rsid w:val="00DC70E7"/>
    <w:rsid w:val="00DD1A28"/>
    <w:rsid w:val="00DD5B62"/>
    <w:rsid w:val="00DE35D1"/>
    <w:rsid w:val="00DE48E7"/>
    <w:rsid w:val="00DE740A"/>
    <w:rsid w:val="00DF1C88"/>
    <w:rsid w:val="00DF20F7"/>
    <w:rsid w:val="00DF4428"/>
    <w:rsid w:val="00DF4518"/>
    <w:rsid w:val="00E01F5C"/>
    <w:rsid w:val="00E03771"/>
    <w:rsid w:val="00E0474C"/>
    <w:rsid w:val="00E072B7"/>
    <w:rsid w:val="00E1133F"/>
    <w:rsid w:val="00E14C81"/>
    <w:rsid w:val="00E2664B"/>
    <w:rsid w:val="00E27521"/>
    <w:rsid w:val="00E338B1"/>
    <w:rsid w:val="00E33A2B"/>
    <w:rsid w:val="00E36408"/>
    <w:rsid w:val="00E36B25"/>
    <w:rsid w:val="00E37D9A"/>
    <w:rsid w:val="00E41AE9"/>
    <w:rsid w:val="00E4423F"/>
    <w:rsid w:val="00E444AF"/>
    <w:rsid w:val="00E448B5"/>
    <w:rsid w:val="00E46CC3"/>
    <w:rsid w:val="00E52490"/>
    <w:rsid w:val="00E576FA"/>
    <w:rsid w:val="00E62319"/>
    <w:rsid w:val="00E6487D"/>
    <w:rsid w:val="00E66218"/>
    <w:rsid w:val="00E72EEA"/>
    <w:rsid w:val="00E72FC9"/>
    <w:rsid w:val="00E7521A"/>
    <w:rsid w:val="00E76D48"/>
    <w:rsid w:val="00E8452A"/>
    <w:rsid w:val="00E928F9"/>
    <w:rsid w:val="00EA0F48"/>
    <w:rsid w:val="00EA6202"/>
    <w:rsid w:val="00EA6475"/>
    <w:rsid w:val="00EB58F6"/>
    <w:rsid w:val="00EB7BAC"/>
    <w:rsid w:val="00EC26ED"/>
    <w:rsid w:val="00EC3C9A"/>
    <w:rsid w:val="00EC48A1"/>
    <w:rsid w:val="00EC5361"/>
    <w:rsid w:val="00EC5420"/>
    <w:rsid w:val="00EC5D53"/>
    <w:rsid w:val="00ED2C30"/>
    <w:rsid w:val="00ED370D"/>
    <w:rsid w:val="00ED40F7"/>
    <w:rsid w:val="00ED4EB6"/>
    <w:rsid w:val="00ED6EF1"/>
    <w:rsid w:val="00EE193E"/>
    <w:rsid w:val="00EE75F7"/>
    <w:rsid w:val="00EF1240"/>
    <w:rsid w:val="00EF20F3"/>
    <w:rsid w:val="00EF3A62"/>
    <w:rsid w:val="00EF4EC0"/>
    <w:rsid w:val="00EF7E02"/>
    <w:rsid w:val="00F05317"/>
    <w:rsid w:val="00F06AA8"/>
    <w:rsid w:val="00F11134"/>
    <w:rsid w:val="00F11146"/>
    <w:rsid w:val="00F22CE5"/>
    <w:rsid w:val="00F25274"/>
    <w:rsid w:val="00F30D97"/>
    <w:rsid w:val="00F3759E"/>
    <w:rsid w:val="00F37714"/>
    <w:rsid w:val="00F43F0D"/>
    <w:rsid w:val="00F45A1A"/>
    <w:rsid w:val="00F51DE2"/>
    <w:rsid w:val="00F51F76"/>
    <w:rsid w:val="00F529AA"/>
    <w:rsid w:val="00F53EC3"/>
    <w:rsid w:val="00F5490A"/>
    <w:rsid w:val="00F54FEA"/>
    <w:rsid w:val="00F554E8"/>
    <w:rsid w:val="00F575AD"/>
    <w:rsid w:val="00F63D15"/>
    <w:rsid w:val="00F6557E"/>
    <w:rsid w:val="00F665AB"/>
    <w:rsid w:val="00F75558"/>
    <w:rsid w:val="00F75C54"/>
    <w:rsid w:val="00F764EC"/>
    <w:rsid w:val="00F8063A"/>
    <w:rsid w:val="00F82986"/>
    <w:rsid w:val="00F83661"/>
    <w:rsid w:val="00F87C56"/>
    <w:rsid w:val="00F93739"/>
    <w:rsid w:val="00F9728D"/>
    <w:rsid w:val="00FA6990"/>
    <w:rsid w:val="00FB1AFB"/>
    <w:rsid w:val="00FB2C1B"/>
    <w:rsid w:val="00FB481D"/>
    <w:rsid w:val="00FB49DD"/>
    <w:rsid w:val="00FB5A9A"/>
    <w:rsid w:val="00FC2708"/>
    <w:rsid w:val="00FC2951"/>
    <w:rsid w:val="00FC3570"/>
    <w:rsid w:val="00FC6E2A"/>
    <w:rsid w:val="00FD1F66"/>
    <w:rsid w:val="00FE01D9"/>
    <w:rsid w:val="00FE1593"/>
    <w:rsid w:val="00FE5808"/>
    <w:rsid w:val="00FE699B"/>
    <w:rsid w:val="00FF0126"/>
    <w:rsid w:val="00FF21F1"/>
    <w:rsid w:val="00FF28DF"/>
    <w:rsid w:val="00FF44DD"/>
    <w:rsid w:val="00FF7504"/>
    <w:rsid w:val="04C70B93"/>
    <w:rsid w:val="05BF54E7"/>
    <w:rsid w:val="09302B22"/>
    <w:rsid w:val="093A12E4"/>
    <w:rsid w:val="0B003157"/>
    <w:rsid w:val="0C667EA6"/>
    <w:rsid w:val="11072A94"/>
    <w:rsid w:val="13FC1FA7"/>
    <w:rsid w:val="156D4658"/>
    <w:rsid w:val="19F1668A"/>
    <w:rsid w:val="1DCD6AB3"/>
    <w:rsid w:val="219A5FA9"/>
    <w:rsid w:val="23E0478E"/>
    <w:rsid w:val="24C43A2C"/>
    <w:rsid w:val="26C52111"/>
    <w:rsid w:val="27E76110"/>
    <w:rsid w:val="2AB9711D"/>
    <w:rsid w:val="2B2937A5"/>
    <w:rsid w:val="2DEF26D6"/>
    <w:rsid w:val="2E963E62"/>
    <w:rsid w:val="35FA38AD"/>
    <w:rsid w:val="367810B3"/>
    <w:rsid w:val="37E94405"/>
    <w:rsid w:val="3A714E4B"/>
    <w:rsid w:val="3B24224C"/>
    <w:rsid w:val="3B466628"/>
    <w:rsid w:val="3D460945"/>
    <w:rsid w:val="418C7015"/>
    <w:rsid w:val="41DB4140"/>
    <w:rsid w:val="452D76AA"/>
    <w:rsid w:val="4E112440"/>
    <w:rsid w:val="4E2D31EF"/>
    <w:rsid w:val="4E985EB2"/>
    <w:rsid w:val="4FC058C6"/>
    <w:rsid w:val="510C5E54"/>
    <w:rsid w:val="51575697"/>
    <w:rsid w:val="52216A9B"/>
    <w:rsid w:val="52427E13"/>
    <w:rsid w:val="53F0733D"/>
    <w:rsid w:val="547418E3"/>
    <w:rsid w:val="57E71486"/>
    <w:rsid w:val="59943EF2"/>
    <w:rsid w:val="5A1C03AD"/>
    <w:rsid w:val="5ADE61AD"/>
    <w:rsid w:val="5B9A25B0"/>
    <w:rsid w:val="5C82428E"/>
    <w:rsid w:val="5F251B4F"/>
    <w:rsid w:val="60E44589"/>
    <w:rsid w:val="614B680F"/>
    <w:rsid w:val="66C467C4"/>
    <w:rsid w:val="6BCA7704"/>
    <w:rsid w:val="6C2F5391"/>
    <w:rsid w:val="6FB94521"/>
    <w:rsid w:val="7322493E"/>
    <w:rsid w:val="73FA3EA6"/>
    <w:rsid w:val="794719E5"/>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99"/>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0"/>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6"/>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rPr>
      <w:rFonts w:cs="Times New Roman"/>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30"/>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30"/>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qFormat/>
    <w:locked/>
    <w:uiPriority w:val="0"/>
    <w:rPr>
      <w:rFonts w:ascii="宋体" w:hAnsi="Courier New"/>
      <w:kern w:val="2"/>
      <w:sz w:val="24"/>
    </w:rPr>
  </w:style>
  <w:style w:type="character" w:customStyle="1" w:styleId="40">
    <w:name w:val="日期 Char"/>
    <w:link w:val="17"/>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qFormat/>
    <w:uiPriority w:val="0"/>
    <w:rPr>
      <w:kern w:val="2"/>
      <w:sz w:val="18"/>
      <w:szCs w:val="18"/>
    </w:rPr>
  </w:style>
  <w:style w:type="character" w:customStyle="1" w:styleId="43">
    <w:name w:val="页眉 Char"/>
    <w:link w:val="20"/>
    <w:qFormat/>
    <w:uiPriority w:val="99"/>
    <w:rPr>
      <w:kern w:val="2"/>
      <w:sz w:val="18"/>
      <w:szCs w:val="18"/>
    </w:rPr>
  </w:style>
  <w:style w:type="character" w:customStyle="1" w:styleId="44">
    <w:name w:val="HTML 预设格式 Char"/>
    <w:basedOn w:val="30"/>
    <w:link w:val="24"/>
    <w:qFormat/>
    <w:uiPriority w:val="99"/>
    <w:rPr>
      <w:rFonts w:ascii="宋体" w:hAnsi="宋体" w:cs="宋体"/>
      <w:sz w:val="24"/>
      <w:szCs w:val="24"/>
    </w:rPr>
  </w:style>
  <w:style w:type="character" w:customStyle="1" w:styleId="45">
    <w:name w:val="标题 Char"/>
    <w:link w:val="26"/>
    <w:qFormat/>
    <w:uiPriority w:val="0"/>
    <w:rPr>
      <w:rFonts w:ascii="Cambria" w:hAnsi="Cambria" w:eastAsia="宋体"/>
      <w:b/>
      <w:bCs/>
      <w:kern w:val="2"/>
      <w:sz w:val="32"/>
      <w:szCs w:val="32"/>
      <w:lang w:val="en-US" w:eastAsia="zh-CN" w:bidi="ar-SA"/>
    </w:rPr>
  </w:style>
  <w:style w:type="character" w:customStyle="1" w:styleId="46">
    <w:name w:val="批注主题 Char"/>
    <w:link w:val="27"/>
    <w:semiHidden/>
    <w:qFormat/>
    <w:uiPriority w:val="99"/>
    <w:rPr>
      <w:b/>
      <w:bCs/>
      <w:kern w:val="2"/>
      <w:sz w:val="21"/>
      <w:szCs w:val="22"/>
    </w:rPr>
  </w:style>
  <w:style w:type="paragraph" w:customStyle="1" w:styleId="47">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8">
    <w:name w:val="楷体 (中文) 楷体"/>
    <w:qFormat/>
    <w:uiPriority w:val="0"/>
    <w:rPr>
      <w:rFonts w:ascii="楷体" w:hAnsi="楷体" w:eastAsia="楷体"/>
      <w:kern w:val="1"/>
      <w:sz w:val="28"/>
    </w:rPr>
  </w:style>
  <w:style w:type="character" w:customStyle="1" w:styleId="49">
    <w:name w:val="Char Char3"/>
    <w:qFormat/>
    <w:uiPriority w:val="0"/>
    <w:rPr>
      <w:rFonts w:eastAsia="仿宋_GB2312"/>
      <w:kern w:val="2"/>
      <w:sz w:val="18"/>
      <w:szCs w:val="18"/>
      <w:lang w:bidi="ar-SA"/>
    </w:rPr>
  </w:style>
  <w:style w:type="character" w:customStyle="1" w:styleId="50">
    <w:name w:val="访问过的超链接1"/>
    <w:qFormat/>
    <w:uiPriority w:val="99"/>
    <w:rPr>
      <w:color w:val="800080"/>
      <w:u w:val="single"/>
    </w:rPr>
  </w:style>
  <w:style w:type="character" w:customStyle="1" w:styleId="51">
    <w:name w:val="样式 仿宋"/>
    <w:qFormat/>
    <w:uiPriority w:val="0"/>
    <w:rPr>
      <w:rFonts w:ascii="仿宋" w:hAnsi="仿宋" w:eastAsia="仿宋"/>
      <w:kern w:val="1"/>
    </w:rPr>
  </w:style>
  <w:style w:type="character" w:customStyle="1" w:styleId="52">
    <w:name w:val="Char Char2"/>
    <w:qFormat/>
    <w:uiPriority w:val="0"/>
    <w:rPr>
      <w:rFonts w:eastAsia="仿宋_GB2312"/>
      <w:kern w:val="2"/>
      <w:sz w:val="18"/>
      <w:szCs w:val="18"/>
      <w:lang w:bidi="ar-SA"/>
    </w:rPr>
  </w:style>
  <w:style w:type="character" w:customStyle="1" w:styleId="53">
    <w:name w:val="正文文本缩进 Char1"/>
    <w:qFormat/>
    <w:uiPriority w:val="0"/>
    <w:rPr>
      <w:rFonts w:ascii="Cambria" w:hAnsi="Cambria"/>
      <w:kern w:val="2"/>
      <w:sz w:val="24"/>
      <w:szCs w:val="24"/>
    </w:rPr>
  </w:style>
  <w:style w:type="character" w:customStyle="1" w:styleId="54">
    <w:name w:val="纯文本 Char"/>
    <w:semiHidden/>
    <w:qFormat/>
    <w:uiPriority w:val="99"/>
    <w:rPr>
      <w:rFonts w:ascii="宋体" w:hAnsi="Courier New" w:cs="Courier New"/>
      <w:kern w:val="2"/>
      <w:sz w:val="21"/>
      <w:szCs w:val="21"/>
    </w:rPr>
  </w:style>
  <w:style w:type="character" w:customStyle="1" w:styleId="55">
    <w:name w:val="Char Char1"/>
    <w:qFormat/>
    <w:uiPriority w:val="0"/>
    <w:rPr>
      <w:rFonts w:eastAsia="仿宋_GB2312"/>
      <w:kern w:val="2"/>
      <w:sz w:val="18"/>
      <w:szCs w:val="18"/>
      <w:lang w:bidi="ar-SA"/>
    </w:rPr>
  </w:style>
  <w:style w:type="paragraph" w:customStyle="1" w:styleId="56">
    <w:name w:val="列出段落1"/>
    <w:basedOn w:val="1"/>
    <w:qFormat/>
    <w:uiPriority w:val="0"/>
    <w:pPr>
      <w:ind w:firstLine="420" w:firstLineChars="200"/>
    </w:pPr>
    <w:rPr>
      <w:szCs w:val="21"/>
    </w:rPr>
  </w:style>
  <w:style w:type="paragraph" w:customStyle="1" w:styleId="57">
    <w:name w:val="样式 标题 1 + (西文) 黑体 (中文) 黑体 小三 蓝色"/>
    <w:basedOn w:val="2"/>
    <w:qFormat/>
    <w:uiPriority w:val="0"/>
    <w:rPr>
      <w:rFonts w:ascii="黑体" w:hAnsi="黑体" w:eastAsia="黑体"/>
      <w:sz w:val="30"/>
      <w:u w:color="0000FF"/>
    </w:rPr>
  </w:style>
  <w:style w:type="paragraph" w:customStyle="1" w:styleId="58">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9">
    <w:name w:val="样式 样式 标题 1 + (西文) 黑体 (中文) 黑体 小三 蓝色 + 非加粗 居中"/>
    <w:basedOn w:val="57"/>
    <w:qFormat/>
    <w:uiPriority w:val="0"/>
    <w:pPr>
      <w:jc w:val="center"/>
    </w:pPr>
    <w:rPr>
      <w:rFonts w:cs="宋体"/>
      <w:b w:val="0"/>
      <w:bCs w:val="0"/>
      <w:szCs w:val="20"/>
    </w:rPr>
  </w:style>
  <w:style w:type="paragraph" w:customStyle="1" w:styleId="60">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1">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2">
    <w:name w:val="样式 仿宋 行距: 1.5 倍行距"/>
    <w:basedOn w:val="1"/>
    <w:qFormat/>
    <w:uiPriority w:val="0"/>
    <w:pPr>
      <w:spacing w:line="360" w:lineRule="auto"/>
    </w:pPr>
    <w:rPr>
      <w:rFonts w:ascii="仿宋" w:hAnsi="仿宋" w:eastAsia="仿宋" w:cs="宋体"/>
      <w:sz w:val="24"/>
      <w:szCs w:val="20"/>
    </w:rPr>
  </w:style>
  <w:style w:type="paragraph" w:customStyle="1" w:styleId="63">
    <w:name w:val="TOC 21"/>
    <w:basedOn w:val="1"/>
    <w:next w:val="1"/>
    <w:unhideWhenUsed/>
    <w:qFormat/>
    <w:uiPriority w:val="39"/>
    <w:pPr>
      <w:spacing w:line="380" w:lineRule="exact"/>
      <w:ind w:left="200" w:leftChars="200"/>
      <w:jc w:val="distribute"/>
    </w:pPr>
  </w:style>
  <w:style w:type="paragraph" w:customStyle="1" w:styleId="64">
    <w:name w:val="样式3"/>
    <w:basedOn w:val="2"/>
    <w:qFormat/>
    <w:uiPriority w:val="0"/>
    <w:rPr>
      <w:kern w:val="1"/>
      <w:sz w:val="30"/>
    </w:rPr>
  </w:style>
  <w:style w:type="paragraph" w:customStyle="1" w:styleId="6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6">
    <w:name w:val="正文1"/>
    <w:qFormat/>
    <w:uiPriority w:val="0"/>
    <w:pPr>
      <w:jc w:val="both"/>
    </w:pPr>
    <w:rPr>
      <w:rFonts w:ascii="Calibri" w:hAnsi="Calibri" w:eastAsia="宋体" w:cs="Calibri"/>
      <w:kern w:val="2"/>
      <w:sz w:val="21"/>
      <w:szCs w:val="21"/>
      <w:lang w:val="en-US" w:eastAsia="zh-CN" w:bidi="ar-SA"/>
    </w:rPr>
  </w:style>
  <w:style w:type="paragraph" w:customStyle="1" w:styleId="67">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TOC 11"/>
    <w:basedOn w:val="1"/>
    <w:next w:val="1"/>
    <w:unhideWhenUsed/>
    <w:qFormat/>
    <w:uiPriority w:val="39"/>
    <w:pPr>
      <w:spacing w:line="380" w:lineRule="exact"/>
      <w:jc w:val="distribute"/>
    </w:pPr>
    <w:rPr>
      <w:rFonts w:eastAsia="黑体"/>
    </w:rPr>
  </w:style>
  <w:style w:type="paragraph" w:customStyle="1" w:styleId="69">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70">
    <w:name w:val="_Style 8"/>
    <w:basedOn w:val="1"/>
    <w:qFormat/>
    <w:uiPriority w:val="0"/>
    <w:pPr>
      <w:tabs>
        <w:tab w:val="left" w:pos="360"/>
      </w:tabs>
    </w:pPr>
    <w:rPr>
      <w:sz w:val="24"/>
      <w:szCs w:val="24"/>
    </w:rPr>
  </w:style>
  <w:style w:type="paragraph" w:customStyle="1" w:styleId="71">
    <w:name w:val="样式１"/>
    <w:basedOn w:val="2"/>
    <w:qFormat/>
    <w:uiPriority w:val="0"/>
    <w:pPr>
      <w:jc w:val="center"/>
    </w:pPr>
    <w:rPr>
      <w:kern w:val="1"/>
      <w:sz w:val="30"/>
    </w:rPr>
  </w:style>
  <w:style w:type="paragraph" w:customStyle="1" w:styleId="72">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3">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4">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5">
    <w:name w:val="Char Char Char Char Char Char Char"/>
    <w:basedOn w:val="1"/>
    <w:qFormat/>
    <w:uiPriority w:val="0"/>
    <w:pPr>
      <w:spacing w:line="240" w:lineRule="atLeast"/>
      <w:ind w:left="420" w:firstLine="420"/>
    </w:pPr>
    <w:rPr>
      <w:kern w:val="0"/>
      <w:szCs w:val="21"/>
    </w:rPr>
  </w:style>
  <w:style w:type="paragraph" w:customStyle="1" w:styleId="76">
    <w:name w:val="Char Char Char Char"/>
    <w:basedOn w:val="1"/>
    <w:qFormat/>
    <w:uiPriority w:val="0"/>
    <w:rPr>
      <w:szCs w:val="20"/>
    </w:rPr>
  </w:style>
  <w:style w:type="paragraph" w:customStyle="1" w:styleId="7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1">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2">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4">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5">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1">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8">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9">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100">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1">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2">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3">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4">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5">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10">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1">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7">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0">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6">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8">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3">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9">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5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7">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60">
    <w:name w:val="Table Paragraph"/>
    <w:basedOn w:val="1"/>
    <w:qFormat/>
    <w:uiPriority w:val="1"/>
    <w:pPr>
      <w:spacing w:before="37"/>
      <w:ind w:left="142"/>
      <w:jc w:val="center"/>
    </w:pPr>
    <w:rPr>
      <w:rFonts w:ascii="黑体" w:hAnsi="黑体" w:eastAsia="黑体" w:cs="黑体"/>
      <w:lang w:val="zh-CN" w:bidi="zh-CN"/>
    </w:rPr>
  </w:style>
  <w:style w:type="paragraph" w:styleId="161">
    <w:name w:val="List Paragraph"/>
    <w:basedOn w:val="1"/>
    <w:qFormat/>
    <w:uiPriority w:val="0"/>
    <w:pPr>
      <w:ind w:firstLine="420" w:firstLineChars="200"/>
    </w:pPr>
    <w:rPr>
      <w:rFonts w:asciiTheme="minorHAnsi" w:hAnsiTheme="minorHAnsi" w:eastAsiaTheme="minorEastAsia" w:cstheme="minorBidi"/>
    </w:rPr>
  </w:style>
  <w:style w:type="character" w:customStyle="1" w:styleId="162">
    <w:name w:val="标题 Char1"/>
    <w:qFormat/>
    <w:uiPriority w:val="10"/>
    <w:rPr>
      <w:rFonts w:ascii="Cambria" w:hAnsi="Cambria" w:cs="Times New Roman"/>
      <w:b/>
      <w:bCs/>
      <w:kern w:val="2"/>
      <w:sz w:val="32"/>
      <w:szCs w:val="32"/>
    </w:rPr>
  </w:style>
  <w:style w:type="paragraph" w:customStyle="1" w:styleId="163">
    <w:name w:val="p0"/>
    <w:basedOn w:val="1"/>
    <w:qFormat/>
    <w:uiPriority w:val="0"/>
    <w:pPr>
      <w:widowControl/>
    </w:pPr>
    <w:rPr>
      <w:kern w:val="0"/>
      <w:szCs w:val="21"/>
    </w:rPr>
  </w:style>
  <w:style w:type="paragraph" w:customStyle="1" w:styleId="16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table" w:customStyle="1" w:styleId="1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2E76-8F6D-4591-8DAE-C4232741E1DF}">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46</Pages>
  <Words>3450</Words>
  <Characters>19665</Characters>
  <Lines>163</Lines>
  <Paragraphs>46</Paragraphs>
  <TotalTime>87</TotalTime>
  <ScaleCrop>false</ScaleCrop>
  <LinksUpToDate>false</LinksUpToDate>
  <CharactersWithSpaces>23069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2023-04-18T08:53:00Z</dcterms:created>
  <dc:creator>市政务服务办</dc:creator>
  <cp:lastModifiedBy>陌上&amp;花开</cp:lastModifiedBy>
  <cp:lastPrinted>2023-05-15T01:13:00Z</cp:lastPrinted>
  <dcterms:modified xsi:type="dcterms:W3CDTF">2023-09-12T01:55:42Z</dcterms:modified>
  <dc:subject>青岛市政府采购采购文件范本</dc:subject>
  <dc:title>青岛市政府采购采购文件范本</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AB0E5AE9865C4900B2552F388743600E</vt:lpwstr>
  </property>
</Properties>
</file>