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outlineLvl w:val="1"/>
        <w:rPr>
          <w:rFonts w:ascii="仿宋" w:hAnsi="仿宋" w:eastAsia="仿宋"/>
          <w:b/>
          <w:sz w:val="28"/>
          <w:szCs w:val="28"/>
        </w:rPr>
      </w:pPr>
      <w:bookmarkStart w:id="0" w:name="_Toc144479359"/>
      <w:r>
        <w:rPr>
          <w:rFonts w:hint="eastAsia" w:ascii="仿宋" w:hAnsi="仿宋" w:eastAsia="仿宋"/>
          <w:b/>
          <w:sz w:val="28"/>
          <w:szCs w:val="28"/>
        </w:rPr>
        <w:t>招标公告</w:t>
      </w:r>
      <w:bookmarkEnd w:id="0"/>
    </w:p>
    <w:p>
      <w:pPr>
        <w:spacing w:line="520" w:lineRule="exact"/>
        <w:ind w:firstLine="560" w:firstLineChars="200"/>
        <w:rPr>
          <w:rFonts w:ascii="仿宋" w:hAnsi="仿宋" w:eastAsia="仿宋"/>
          <w:sz w:val="28"/>
          <w:szCs w:val="28"/>
        </w:rPr>
      </w:pPr>
      <w:r>
        <w:rPr>
          <w:rFonts w:hint="eastAsia" w:ascii="仿宋" w:hAnsi="仿宋" w:eastAsia="仿宋"/>
          <w:sz w:val="28"/>
          <w:szCs w:val="28"/>
        </w:rPr>
        <w:t>我公司现对高实雅苑项目电力配套工程(劳务)进行招标，欢迎符合条件的投标人参加，具体要求如下：</w:t>
      </w:r>
    </w:p>
    <w:p>
      <w:pPr>
        <w:ind w:firstLine="560" w:firstLineChars="200"/>
        <w:rPr>
          <w:rFonts w:ascii="仿宋" w:hAnsi="仿宋" w:eastAsia="仿宋" w:cs="宋体"/>
          <w:color w:val="000000"/>
          <w:sz w:val="28"/>
          <w:szCs w:val="28"/>
        </w:rPr>
      </w:pPr>
      <w:r>
        <w:rPr>
          <w:rFonts w:hint="eastAsia" w:ascii="仿宋" w:hAnsi="仿宋" w:eastAsia="仿宋"/>
          <w:sz w:val="28"/>
          <w:szCs w:val="28"/>
        </w:rPr>
        <w:t>1.项目名称：</w:t>
      </w:r>
      <w:r>
        <w:rPr>
          <w:rFonts w:hint="eastAsia" w:ascii="仿宋" w:hAnsi="仿宋" w:eastAsia="仿宋" w:cs="宋体"/>
          <w:color w:val="000000"/>
          <w:sz w:val="28"/>
          <w:szCs w:val="28"/>
        </w:rPr>
        <w:t>高实雅苑项目电力配套工程(劳务)</w:t>
      </w:r>
    </w:p>
    <w:p>
      <w:pPr>
        <w:ind w:firstLine="560" w:firstLineChars="200"/>
        <w:rPr>
          <w:rFonts w:ascii="仿宋" w:hAnsi="仿宋" w:eastAsia="仿宋" w:cs="宋体"/>
          <w:color w:val="000000"/>
          <w:sz w:val="28"/>
          <w:szCs w:val="28"/>
        </w:rPr>
      </w:pPr>
      <w:r>
        <w:rPr>
          <w:rFonts w:hint="eastAsia" w:ascii="仿宋" w:hAnsi="仿宋" w:eastAsia="仿宋"/>
          <w:sz w:val="28"/>
          <w:szCs w:val="28"/>
        </w:rPr>
        <w:t xml:space="preserve">2.项目地点： </w:t>
      </w:r>
      <w:r>
        <w:rPr>
          <w:rFonts w:hint="eastAsia" w:ascii="仿宋" w:hAnsi="仿宋" w:eastAsia="仿宋" w:cs="宋体"/>
          <w:color w:val="000000"/>
          <w:sz w:val="28"/>
          <w:szCs w:val="28"/>
        </w:rPr>
        <w:t>红岛经济区红岛街道经五路三支路以东、环岛北路以南、纵三北路以西、聚贤桥一支路以北。</w:t>
      </w:r>
    </w:p>
    <w:p>
      <w:pPr>
        <w:spacing w:line="520" w:lineRule="exact"/>
        <w:ind w:firstLine="560" w:firstLineChars="200"/>
        <w:rPr>
          <w:rFonts w:ascii="仿宋" w:hAnsi="仿宋" w:eastAsia="仿宋" w:cs="宋体"/>
          <w:color w:val="000000"/>
          <w:sz w:val="28"/>
          <w:szCs w:val="28"/>
        </w:rPr>
      </w:pPr>
      <w:r>
        <w:rPr>
          <w:rFonts w:hint="eastAsia" w:ascii="仿宋" w:hAnsi="仿宋" w:eastAsia="仿宋"/>
          <w:sz w:val="28"/>
          <w:szCs w:val="28"/>
        </w:rPr>
        <w:t>3.服务内容：</w:t>
      </w:r>
      <w:r>
        <w:rPr>
          <w:rFonts w:hint="eastAsia" w:ascii="仿宋" w:hAnsi="仿宋" w:eastAsia="仿宋" w:cs="宋体"/>
          <w:color w:val="000000"/>
          <w:sz w:val="28"/>
          <w:szCs w:val="28"/>
        </w:rPr>
        <w:t>配电室内线、外线劳务（包括配电室照明、小区站内土建、居民电缆、分支箱、电表箱安装、居民低压电缆敷设、充电桩电缆分支箱、电表箱安装、充电桩低压电缆敷设、地下车库桥架、电缆管沟开挖，包封及回填、电力环网柜底座及检查井等工作，详见招标工程量清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4.招标控制价（含税价，其中增值税税率为1%）：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配电室内线劳务</w:t>
      </w:r>
      <w:r>
        <w:rPr>
          <w:rFonts w:ascii="仿宋" w:hAnsi="仿宋" w:eastAsia="仿宋"/>
          <w:sz w:val="28"/>
          <w:szCs w:val="28"/>
        </w:rPr>
        <w:t>2</w:t>
      </w:r>
      <w:r>
        <w:rPr>
          <w:rFonts w:hint="eastAsia" w:ascii="仿宋" w:hAnsi="仿宋" w:eastAsia="仿宋"/>
          <w:sz w:val="28"/>
          <w:szCs w:val="28"/>
        </w:rPr>
        <w:t>202857.06</w:t>
      </w:r>
      <w:r>
        <w:rPr>
          <w:rFonts w:ascii="仿宋" w:hAnsi="仿宋" w:eastAsia="仿宋"/>
          <w:sz w:val="28"/>
          <w:szCs w:val="28"/>
        </w:rPr>
        <w:t>元</w:t>
      </w:r>
      <w:r>
        <w:rPr>
          <w:rFonts w:hint="eastAsia" w:ascii="仿宋" w:hAnsi="仿宋" w:eastAsia="仿宋"/>
          <w:sz w:val="28"/>
          <w:szCs w:val="28"/>
        </w:rPr>
        <w:t>；配电室外线劳务</w:t>
      </w:r>
      <w:r>
        <w:rPr>
          <w:rFonts w:ascii="仿宋" w:hAnsi="仿宋" w:eastAsia="仿宋"/>
          <w:sz w:val="28"/>
          <w:szCs w:val="28"/>
        </w:rPr>
        <w:t>6</w:t>
      </w:r>
      <w:r>
        <w:rPr>
          <w:rFonts w:hint="eastAsia" w:ascii="仿宋" w:hAnsi="仿宋" w:eastAsia="仿宋"/>
          <w:sz w:val="28"/>
          <w:szCs w:val="28"/>
        </w:rPr>
        <w:t>75885.32</w:t>
      </w:r>
      <w:r>
        <w:rPr>
          <w:rFonts w:ascii="仿宋" w:hAnsi="仿宋" w:eastAsia="仿宋"/>
          <w:sz w:val="28"/>
          <w:szCs w:val="28"/>
        </w:rPr>
        <w:t>元</w:t>
      </w:r>
      <w:r>
        <w:rPr>
          <w:rFonts w:hint="eastAsia" w:ascii="仿宋" w:hAnsi="仿宋" w:eastAsia="仿宋"/>
          <w:sz w:val="28"/>
          <w:szCs w:val="28"/>
        </w:rPr>
        <w:t>，</w:t>
      </w:r>
      <w:r>
        <w:rPr>
          <w:rFonts w:ascii="仿宋" w:hAnsi="仿宋" w:eastAsia="仿宋"/>
          <w:sz w:val="28"/>
          <w:szCs w:val="28"/>
        </w:rPr>
        <w:t>合计2</w:t>
      </w:r>
      <w:r>
        <w:rPr>
          <w:rFonts w:hint="eastAsia" w:ascii="仿宋" w:hAnsi="仿宋" w:eastAsia="仿宋"/>
          <w:sz w:val="28"/>
          <w:szCs w:val="28"/>
        </w:rPr>
        <w:t>878742.38</w:t>
      </w:r>
      <w:r>
        <w:rPr>
          <w:rFonts w:ascii="仿宋" w:hAnsi="仿宋" w:eastAsia="仿宋"/>
          <w:sz w:val="28"/>
          <w:szCs w:val="28"/>
        </w:rPr>
        <w:t>元（除税总价为2850239.98</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sz w:val="28"/>
          <w:szCs w:val="28"/>
        </w:rPr>
        <w:t xml:space="preserve">    5.</w:t>
      </w:r>
      <w:r>
        <w:rPr>
          <w:rFonts w:hint="eastAsia" w:ascii="仿宋" w:hAnsi="仿宋" w:eastAsia="仿宋" w:cs="宋体"/>
          <w:bCs/>
          <w:sz w:val="28"/>
          <w:szCs w:val="28"/>
        </w:rPr>
        <w:t xml:space="preserve"> 投标人</w:t>
      </w:r>
      <w:r>
        <w:rPr>
          <w:rFonts w:hint="eastAsia" w:ascii="仿宋" w:hAnsi="仿宋" w:eastAsia="仿宋"/>
          <w:sz w:val="28"/>
          <w:szCs w:val="28"/>
        </w:rPr>
        <w:t>资格要求</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5.1投标人必须具有独立法人资格,各投标人不得有企业关联或股权关系。</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5.2投标人必须具备符合国家、行业标准要求的相关营业资格、劳务资质、</w:t>
      </w:r>
      <w:r>
        <w:rPr>
          <w:rFonts w:hint="eastAsia" w:ascii="仿宋" w:hAnsi="仿宋" w:eastAsia="仿宋"/>
          <w:sz w:val="28"/>
          <w:szCs w:val="28"/>
        </w:rPr>
        <w:t>有效的安全生产许可证，</w:t>
      </w:r>
      <w:r>
        <w:rPr>
          <w:rFonts w:hint="eastAsia" w:ascii="仿宋" w:hAnsi="仿宋" w:eastAsia="仿宋" w:cs="宋体"/>
          <w:bCs/>
          <w:sz w:val="28"/>
          <w:szCs w:val="28"/>
          <w:lang w:val="zh-CN"/>
        </w:rPr>
        <w:t>并在人员、设备、技术、资</w:t>
      </w:r>
      <w:r>
        <w:rPr>
          <w:rFonts w:hint="eastAsia" w:ascii="仿宋" w:hAnsi="仿宋" w:eastAsia="仿宋" w:cs="宋体"/>
          <w:bCs/>
          <w:sz w:val="28"/>
          <w:szCs w:val="28"/>
        </w:rPr>
        <w:t>金等方面具备相应的能力。</w:t>
      </w:r>
    </w:p>
    <w:p>
      <w:pPr>
        <w:spacing w:line="560" w:lineRule="exact"/>
        <w:ind w:firstLine="560" w:firstLineChars="200"/>
        <w:jc w:val="left"/>
        <w:rPr>
          <w:rFonts w:ascii="仿宋" w:hAnsi="仿宋" w:eastAsia="仿宋"/>
          <w:sz w:val="28"/>
          <w:szCs w:val="28"/>
        </w:rPr>
      </w:pPr>
      <w:r>
        <w:rPr>
          <w:rFonts w:hint="eastAsia" w:ascii="仿宋" w:hAnsi="仿宋" w:eastAsia="仿宋" w:cs="宋体"/>
          <w:bCs/>
          <w:sz w:val="28"/>
          <w:szCs w:val="28"/>
        </w:rPr>
        <w:t>5.3项目负责人应具有的条件：要求承担本工程项目负责人须具有机电工程专业注册二级建造师执业资格，或具有机电（或电力）工程专业中级以上职称。</w:t>
      </w:r>
    </w:p>
    <w:p>
      <w:pPr>
        <w:spacing w:line="520" w:lineRule="exact"/>
        <w:ind w:firstLine="564"/>
        <w:jc w:val="left"/>
        <w:rPr>
          <w:rFonts w:ascii="仿宋" w:hAnsi="仿宋" w:eastAsia="仿宋" w:cs="宋体"/>
          <w:bCs/>
          <w:sz w:val="28"/>
          <w:szCs w:val="28"/>
        </w:rPr>
      </w:pPr>
      <w:r>
        <w:rPr>
          <w:rFonts w:hint="eastAsia" w:ascii="仿宋" w:hAnsi="仿宋" w:eastAsia="仿宋" w:cs="宋体"/>
          <w:bCs/>
          <w:sz w:val="28"/>
          <w:szCs w:val="28"/>
        </w:rPr>
        <w:t>5.4招标公告发布之日前三年内无行贿犯罪等重大违法记录。</w:t>
      </w:r>
    </w:p>
    <w:p>
      <w:pPr>
        <w:pStyle w:val="16"/>
        <w:spacing w:line="520" w:lineRule="exact"/>
        <w:rPr>
          <w:rFonts w:ascii="仿宋" w:hAnsi="仿宋" w:eastAsia="仿宋" w:cs="宋体"/>
          <w:bCs/>
          <w:sz w:val="28"/>
          <w:szCs w:val="28"/>
        </w:rPr>
      </w:pPr>
      <w:bookmarkStart w:id="1" w:name="_Toc521332562"/>
      <w:r>
        <w:rPr>
          <w:rFonts w:hint="eastAsia" w:ascii="仿宋" w:hAnsi="仿宋" w:eastAsia="仿宋" w:cs="宋体"/>
          <w:bCs/>
          <w:sz w:val="28"/>
          <w:szCs w:val="28"/>
        </w:rPr>
        <w:t xml:space="preserve">    5.5通过“信用中国”网站（www.creditchina.gov.cn）、中国政府采购网（www.ccgp.gov.cn）查询，未被列入失信被执行人、重大税收违法案件当事人、政府采购严重违法失信行为记录名单。</w:t>
      </w:r>
    </w:p>
    <w:bookmarkEnd w:id="1"/>
    <w:p>
      <w:pPr>
        <w:pStyle w:val="16"/>
        <w:spacing w:line="520" w:lineRule="exact"/>
        <w:rPr>
          <w:rFonts w:ascii="仿宋" w:hAnsi="仿宋" w:eastAsia="仿宋"/>
          <w:sz w:val="28"/>
          <w:szCs w:val="28"/>
        </w:rPr>
      </w:pPr>
      <w:r>
        <w:rPr>
          <w:rFonts w:hint="eastAsia" w:ascii="仿宋" w:hAnsi="仿宋" w:eastAsia="仿宋"/>
          <w:sz w:val="28"/>
          <w:szCs w:val="28"/>
        </w:rPr>
        <w:t xml:space="preserve">    6.资格预审及招标文件的获取</w:t>
      </w:r>
    </w:p>
    <w:p>
      <w:pPr>
        <w:pStyle w:val="16"/>
        <w:spacing w:line="520" w:lineRule="exact"/>
        <w:rPr>
          <w:rFonts w:ascii="仿宋" w:hAnsi="仿宋" w:eastAsia="仿宋"/>
          <w:color w:val="0000FF"/>
          <w:sz w:val="28"/>
          <w:szCs w:val="28"/>
        </w:rPr>
      </w:pPr>
      <w:r>
        <w:rPr>
          <w:rFonts w:hint="eastAsia" w:ascii="仿宋" w:hAnsi="仿宋" w:eastAsia="仿宋"/>
          <w:sz w:val="28"/>
          <w:szCs w:val="28"/>
        </w:rPr>
        <w:t xml:space="preserve">    6.1截止时间：2023年9月 13日12时00分。</w:t>
      </w:r>
    </w:p>
    <w:p>
      <w:pPr>
        <w:pStyle w:val="16"/>
        <w:rPr>
          <w:rFonts w:ascii="仿宋" w:hAnsi="仿宋" w:eastAsia="仿宋"/>
          <w:sz w:val="28"/>
          <w:szCs w:val="28"/>
        </w:rPr>
      </w:pPr>
      <w:r>
        <w:rPr>
          <w:rFonts w:hint="eastAsia" w:ascii="仿宋" w:hAnsi="仿宋" w:eastAsia="仿宋"/>
          <w:sz w:val="28"/>
          <w:szCs w:val="28"/>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47"/>
          <w:rFonts w:hint="eastAsia" w:ascii="仿宋" w:hAnsi="仿宋" w:eastAsia="仿宋" w:cs="仿宋"/>
          <w:szCs w:val="28"/>
        </w:rPr>
        <w:t>由招标单位受理后，通过邮箱向投标人发放招标文件。</w:t>
      </w:r>
    </w:p>
    <w:p>
      <w:pPr>
        <w:pStyle w:val="16"/>
        <w:spacing w:line="520" w:lineRule="exact"/>
        <w:ind w:firstLine="420" w:firstLineChars="150"/>
        <w:rPr>
          <w:rFonts w:ascii="仿宋" w:hAnsi="仿宋" w:eastAsia="仿宋"/>
          <w:sz w:val="28"/>
          <w:szCs w:val="28"/>
          <w:highlight w:val="yellow"/>
        </w:rPr>
      </w:pPr>
      <w:r>
        <w:rPr>
          <w:rFonts w:hint="eastAsia" w:ascii="仿宋" w:hAnsi="仿宋" w:eastAsia="仿宋"/>
          <w:sz w:val="28"/>
          <w:szCs w:val="28"/>
        </w:rPr>
        <w:t>6.3资格审查材料：营业执照复印件，法定代表人身份证明，法定代表人授权委托书，相关资质复印件、项目负责人相关证件复印件、中国裁判文书网（http://wenshu.court.gov.cn)分别查询投标单位、法定代表人无行贿犯罪记录查询网页截图，中国政府采购网、“信用中国”网站查询网页截图，以上材料均需加盖投标单位公章。</w:t>
      </w:r>
    </w:p>
    <w:p>
      <w:pPr>
        <w:pStyle w:val="16"/>
        <w:spacing w:line="520" w:lineRule="exact"/>
        <w:rPr>
          <w:rFonts w:ascii="仿宋" w:hAnsi="仿宋" w:eastAsia="仿宋"/>
          <w:sz w:val="28"/>
          <w:szCs w:val="28"/>
        </w:rPr>
      </w:pPr>
      <w:r>
        <w:rPr>
          <w:rFonts w:hint="eastAsia" w:ascii="仿宋" w:hAnsi="仿宋" w:eastAsia="仿宋"/>
          <w:sz w:val="28"/>
          <w:szCs w:val="28"/>
        </w:rPr>
        <w:t xml:space="preserve">    7.投标文件递交时间以及地点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7.1时间：2023年9月19日8时00分至8时30分。</w:t>
      </w:r>
    </w:p>
    <w:p>
      <w:pPr>
        <w:pStyle w:val="16"/>
        <w:spacing w:line="520" w:lineRule="exact"/>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8.开标时间以及地点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8.1时间：2023年9 月19日8时30分。</w:t>
      </w:r>
    </w:p>
    <w:p>
      <w:pPr>
        <w:pStyle w:val="16"/>
        <w:spacing w:line="520" w:lineRule="exact"/>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9.联系方式</w:t>
      </w:r>
    </w:p>
    <w:p>
      <w:pPr>
        <w:pStyle w:val="16"/>
        <w:spacing w:line="520" w:lineRule="exact"/>
        <w:rPr>
          <w:rFonts w:ascii="仿宋" w:hAnsi="仿宋" w:eastAsia="仿宋"/>
          <w:sz w:val="28"/>
          <w:szCs w:val="28"/>
        </w:rPr>
      </w:pPr>
      <w:r>
        <w:rPr>
          <w:rFonts w:hint="eastAsia" w:ascii="仿宋" w:hAnsi="仿宋" w:eastAsia="仿宋"/>
          <w:sz w:val="28"/>
          <w:szCs w:val="28"/>
        </w:rPr>
        <w:t xml:space="preserve">    9.1招标人：青岛高新电力发展有限公司</w:t>
      </w:r>
    </w:p>
    <w:p>
      <w:pPr>
        <w:pStyle w:val="16"/>
        <w:spacing w:line="520" w:lineRule="exact"/>
        <w:rPr>
          <w:rFonts w:ascii="仿宋" w:hAnsi="仿宋" w:eastAsia="仿宋"/>
          <w:sz w:val="28"/>
          <w:szCs w:val="28"/>
        </w:rPr>
      </w:pPr>
      <w:r>
        <w:rPr>
          <w:rFonts w:hint="eastAsia" w:ascii="仿宋" w:hAnsi="仿宋" w:eastAsia="仿宋"/>
          <w:sz w:val="28"/>
          <w:szCs w:val="28"/>
        </w:rPr>
        <w:t xml:space="preserve">    联 系 人：纪虹延</w:t>
      </w:r>
    </w:p>
    <w:p>
      <w:pPr>
        <w:pStyle w:val="16"/>
        <w:spacing w:line="520" w:lineRule="exact"/>
        <w:rPr>
          <w:rFonts w:ascii="仿宋" w:hAnsi="仿宋" w:eastAsia="仿宋"/>
          <w:sz w:val="28"/>
          <w:szCs w:val="28"/>
        </w:rPr>
      </w:pPr>
      <w:r>
        <w:rPr>
          <w:rFonts w:hint="eastAsia" w:ascii="仿宋" w:hAnsi="仿宋" w:eastAsia="仿宋"/>
          <w:sz w:val="28"/>
          <w:szCs w:val="28"/>
        </w:rPr>
        <w:t xml:space="preserve">    电    话：0532-68687097</w:t>
      </w:r>
    </w:p>
    <w:p>
      <w:pPr>
        <w:pStyle w:val="16"/>
        <w:spacing w:line="520" w:lineRule="exact"/>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spacing w:line="520" w:lineRule="exact"/>
        <w:rPr>
          <w:rFonts w:ascii="仿宋" w:hAnsi="仿宋" w:eastAsia="仿宋"/>
          <w:sz w:val="28"/>
          <w:szCs w:val="28"/>
        </w:rPr>
      </w:pPr>
    </w:p>
    <w:p>
      <w:pPr>
        <w:pStyle w:val="16"/>
        <w:spacing w:line="520" w:lineRule="exact"/>
        <w:rPr>
          <w:rFonts w:ascii="仿宋" w:hAnsi="仿宋" w:eastAsia="仿宋"/>
          <w:sz w:val="28"/>
          <w:szCs w:val="28"/>
        </w:rPr>
      </w:pPr>
      <w:r>
        <w:rPr>
          <w:rFonts w:hint="eastAsia" w:ascii="仿宋" w:hAnsi="仿宋" w:eastAsia="仿宋"/>
          <w:sz w:val="28"/>
          <w:szCs w:val="28"/>
        </w:rPr>
        <w:t xml:space="preserve">                                            2023年9月 12日</w:t>
      </w:r>
    </w:p>
    <w:p>
      <w:pPr>
        <w:spacing w:afterLines="50" w:line="360" w:lineRule="auto"/>
        <w:jc w:val="center"/>
        <w:outlineLvl w:val="1"/>
        <w:rPr>
          <w:rFonts w:ascii="仿宋" w:hAnsi="仿宋" w:eastAsia="仿宋"/>
          <w:b/>
          <w:sz w:val="28"/>
          <w:szCs w:val="28"/>
        </w:rPr>
      </w:pPr>
      <w:r>
        <w:rPr>
          <w:rFonts w:ascii="仿宋" w:hAnsi="仿宋" w:eastAsia="仿宋"/>
          <w:b/>
          <w:sz w:val="28"/>
          <w:szCs w:val="28"/>
        </w:rPr>
        <w:br w:type="page"/>
      </w:r>
      <w:bookmarkStart w:id="2" w:name="_Toc144479361"/>
      <w:r>
        <w:rPr>
          <w:rFonts w:hint="eastAsia" w:ascii="仿宋" w:hAnsi="仿宋" w:eastAsia="仿宋"/>
          <w:b/>
          <w:sz w:val="28"/>
          <w:szCs w:val="28"/>
        </w:rPr>
        <w:t>招标需求</w:t>
      </w:r>
      <w:bookmarkEnd w:id="2"/>
    </w:p>
    <w:p>
      <w:pPr>
        <w:tabs>
          <w:tab w:val="left" w:pos="567"/>
        </w:tabs>
        <w:spacing w:afterLines="50" w:line="560" w:lineRule="exact"/>
        <w:outlineLvl w:val="2"/>
        <w:rPr>
          <w:rFonts w:ascii="仿宋" w:hAnsi="仿宋" w:eastAsia="仿宋" w:cs="宋体"/>
          <w:b/>
          <w:color w:val="000000"/>
          <w:sz w:val="28"/>
          <w:szCs w:val="28"/>
        </w:rPr>
      </w:pPr>
      <w:bookmarkStart w:id="3" w:name="_Toc144479362"/>
      <w:r>
        <w:rPr>
          <w:rFonts w:hint="eastAsia" w:ascii="仿宋" w:hAnsi="仿宋" w:eastAsia="仿宋"/>
          <w:b/>
          <w:sz w:val="28"/>
          <w:szCs w:val="28"/>
        </w:rPr>
        <w:t>1.招标</w:t>
      </w:r>
      <w:r>
        <w:rPr>
          <w:rFonts w:ascii="仿宋" w:hAnsi="仿宋" w:eastAsia="仿宋"/>
          <w:b/>
          <w:sz w:val="28"/>
          <w:szCs w:val="28"/>
        </w:rPr>
        <w:t>需求</w:t>
      </w:r>
      <w:bookmarkEnd w:id="3"/>
    </w:p>
    <w:p>
      <w:pPr>
        <w:spacing w:line="560" w:lineRule="exact"/>
        <w:ind w:firstLine="480" w:firstLineChars="200"/>
        <w:rPr>
          <w:rFonts w:ascii="仿宋" w:hAnsi="仿宋" w:eastAsia="仿宋"/>
          <w:sz w:val="24"/>
          <w:szCs w:val="24"/>
        </w:rPr>
      </w:pPr>
      <w:r>
        <w:rPr>
          <w:rFonts w:hint="eastAsia" w:ascii="仿宋" w:hAnsi="仿宋" w:eastAsia="仿宋"/>
          <w:sz w:val="24"/>
          <w:szCs w:val="24"/>
        </w:rPr>
        <w:t>1.1.项目名称：高实雅苑项目电力配套工程(劳务)。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1.2.服务内容：配电室内线劳务、配电室外线劳务（包括配电室照明、小区站内土建、居民电缆、分支箱、电表箱、高低压柜安装、调试、居民低压电缆敷设、充电桩电缆分支箱、电表箱安装、充电桩低压电缆敷设、地下车库桥架、电缆管沟开挖，包封及回填、电力环网柜底座及检查井等工程量清单范围内的工程施工，详见招标工程量清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1.3.招标控制价（含税价，其中增值税税率为1%）：配电室内线劳务</w:t>
      </w:r>
      <w:r>
        <w:rPr>
          <w:rFonts w:ascii="仿宋" w:hAnsi="仿宋" w:eastAsia="仿宋"/>
          <w:sz w:val="24"/>
          <w:szCs w:val="24"/>
        </w:rPr>
        <w:t>2</w:t>
      </w:r>
      <w:r>
        <w:rPr>
          <w:rFonts w:hint="eastAsia" w:ascii="仿宋" w:hAnsi="仿宋" w:eastAsia="仿宋"/>
          <w:sz w:val="24"/>
          <w:szCs w:val="24"/>
        </w:rPr>
        <w:t>202857.06</w:t>
      </w:r>
      <w:r>
        <w:rPr>
          <w:rFonts w:ascii="仿宋" w:hAnsi="仿宋" w:eastAsia="仿宋"/>
          <w:sz w:val="24"/>
          <w:szCs w:val="24"/>
        </w:rPr>
        <w:t>元</w:t>
      </w:r>
      <w:r>
        <w:rPr>
          <w:rFonts w:hint="eastAsia" w:ascii="仿宋" w:hAnsi="仿宋" w:eastAsia="仿宋"/>
          <w:sz w:val="24"/>
          <w:szCs w:val="24"/>
        </w:rPr>
        <w:t>、配电室外线劳务</w:t>
      </w:r>
      <w:r>
        <w:rPr>
          <w:rFonts w:ascii="仿宋" w:hAnsi="仿宋" w:eastAsia="仿宋"/>
          <w:sz w:val="24"/>
          <w:szCs w:val="24"/>
        </w:rPr>
        <w:t>6</w:t>
      </w:r>
      <w:r>
        <w:rPr>
          <w:rFonts w:hint="eastAsia" w:ascii="仿宋" w:hAnsi="仿宋" w:eastAsia="仿宋"/>
          <w:sz w:val="24"/>
          <w:szCs w:val="24"/>
        </w:rPr>
        <w:t>75885.32</w:t>
      </w:r>
      <w:r>
        <w:rPr>
          <w:rFonts w:ascii="仿宋" w:hAnsi="仿宋" w:eastAsia="仿宋"/>
          <w:sz w:val="24"/>
          <w:szCs w:val="24"/>
        </w:rPr>
        <w:t>元</w:t>
      </w:r>
      <w:r>
        <w:rPr>
          <w:rFonts w:hint="eastAsia" w:ascii="仿宋" w:hAnsi="仿宋" w:eastAsia="仿宋"/>
          <w:sz w:val="24"/>
          <w:szCs w:val="24"/>
        </w:rPr>
        <w:t>，</w:t>
      </w:r>
      <w:r>
        <w:rPr>
          <w:rFonts w:ascii="仿宋" w:hAnsi="仿宋" w:eastAsia="仿宋"/>
          <w:sz w:val="24"/>
          <w:szCs w:val="24"/>
        </w:rPr>
        <w:t>合计2</w:t>
      </w:r>
      <w:r>
        <w:rPr>
          <w:rFonts w:hint="eastAsia" w:ascii="仿宋" w:hAnsi="仿宋" w:eastAsia="仿宋"/>
          <w:sz w:val="24"/>
          <w:szCs w:val="24"/>
        </w:rPr>
        <w:t>878742.38</w:t>
      </w:r>
      <w:r>
        <w:rPr>
          <w:rFonts w:ascii="仿宋" w:hAnsi="仿宋" w:eastAsia="仿宋"/>
          <w:sz w:val="24"/>
          <w:szCs w:val="24"/>
        </w:rPr>
        <w:t>元</w:t>
      </w:r>
      <w:r>
        <w:rPr>
          <w:rFonts w:hint="eastAsia" w:ascii="仿宋" w:hAnsi="仿宋" w:eastAsia="仿宋"/>
          <w:sz w:val="24"/>
          <w:szCs w:val="24"/>
        </w:rPr>
        <w:t>。</w:t>
      </w:r>
    </w:p>
    <w:p>
      <w:pPr>
        <w:tabs>
          <w:tab w:val="left" w:pos="567"/>
        </w:tabs>
        <w:spacing w:afterLines="50" w:line="560" w:lineRule="exact"/>
        <w:outlineLvl w:val="2"/>
        <w:rPr>
          <w:rFonts w:ascii="仿宋" w:hAnsi="仿宋" w:eastAsia="仿宋"/>
          <w:b/>
          <w:sz w:val="28"/>
          <w:szCs w:val="28"/>
        </w:rPr>
      </w:pPr>
      <w:bookmarkStart w:id="4" w:name="_Toc144479363"/>
      <w:r>
        <w:rPr>
          <w:rFonts w:hint="eastAsia" w:ascii="仿宋" w:hAnsi="仿宋" w:eastAsia="仿宋"/>
          <w:b/>
          <w:sz w:val="28"/>
          <w:szCs w:val="28"/>
        </w:rPr>
        <w:t>2.工期</w:t>
      </w:r>
      <w:bookmarkEnd w:id="4"/>
    </w:p>
    <w:p>
      <w:pPr>
        <w:spacing w:line="560" w:lineRule="exact"/>
        <w:ind w:firstLine="480" w:firstLineChars="200"/>
        <w:rPr>
          <w:rFonts w:ascii="仿宋" w:hAnsi="仿宋" w:eastAsia="仿宋"/>
          <w:sz w:val="24"/>
          <w:szCs w:val="24"/>
        </w:rPr>
      </w:pPr>
      <w:r>
        <w:rPr>
          <w:rFonts w:hint="eastAsia" w:ascii="仿宋" w:hAnsi="仿宋" w:eastAsia="仿宋"/>
          <w:sz w:val="24"/>
          <w:szCs w:val="24"/>
        </w:rPr>
        <w:t>计划开工日期：中标后签订合同时间，计划竣工时间：2023年10月23日。实际开工日期以招标人书面通知为准。除甲方原因及人力不可抗拒的因素外，一律不得顺延。</w:t>
      </w:r>
    </w:p>
    <w:p>
      <w:pPr>
        <w:tabs>
          <w:tab w:val="left" w:pos="567"/>
        </w:tabs>
        <w:spacing w:afterLines="50" w:line="560" w:lineRule="exact"/>
        <w:outlineLvl w:val="2"/>
        <w:rPr>
          <w:rFonts w:ascii="仿宋" w:hAnsi="仿宋" w:eastAsia="仿宋"/>
          <w:b/>
          <w:sz w:val="28"/>
          <w:szCs w:val="28"/>
        </w:rPr>
      </w:pPr>
      <w:bookmarkStart w:id="5" w:name="_Toc144479364"/>
      <w:r>
        <w:rPr>
          <w:rFonts w:hint="eastAsia" w:ascii="仿宋" w:hAnsi="仿宋" w:eastAsia="仿宋"/>
          <w:b/>
          <w:sz w:val="28"/>
          <w:szCs w:val="28"/>
        </w:rPr>
        <w:t>3.质量标准</w:t>
      </w:r>
      <w:bookmarkEnd w:id="5"/>
    </w:p>
    <w:p>
      <w:pPr>
        <w:spacing w:line="560" w:lineRule="exact"/>
        <w:ind w:firstLine="480" w:firstLineChars="200"/>
        <w:rPr>
          <w:rFonts w:ascii="仿宋" w:hAnsi="仿宋" w:eastAsia="仿宋"/>
          <w:sz w:val="24"/>
          <w:szCs w:val="24"/>
        </w:rPr>
      </w:pPr>
      <w:r>
        <w:rPr>
          <w:rFonts w:hint="eastAsia" w:ascii="仿宋" w:hAnsi="仿宋" w:eastAsia="仿宋"/>
          <w:sz w:val="24"/>
          <w:szCs w:val="24"/>
        </w:rPr>
        <w:t>3.1.本工程要求质量标准为:一次性验收合格。</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3.2.本工程按照国家现行工程验收规范、标准进行评定验收。</w:t>
      </w:r>
    </w:p>
    <w:p>
      <w:pPr>
        <w:tabs>
          <w:tab w:val="left" w:pos="567"/>
        </w:tabs>
        <w:spacing w:afterLines="50" w:line="560" w:lineRule="exact"/>
        <w:outlineLvl w:val="2"/>
        <w:rPr>
          <w:rFonts w:ascii="仿宋" w:hAnsi="仿宋" w:eastAsia="仿宋"/>
          <w:b/>
          <w:sz w:val="28"/>
          <w:szCs w:val="28"/>
        </w:rPr>
      </w:pPr>
      <w:bookmarkStart w:id="6" w:name="_Toc144479365"/>
      <w:r>
        <w:rPr>
          <w:rFonts w:hint="eastAsia" w:ascii="仿宋" w:hAnsi="仿宋" w:eastAsia="仿宋"/>
          <w:b/>
          <w:sz w:val="28"/>
          <w:szCs w:val="28"/>
        </w:rPr>
        <w:t>4.付款及结算方式</w:t>
      </w:r>
      <w:bookmarkEnd w:id="6"/>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4.1 固定单价，工程量按经招标人验收合格的工程量据实结算。</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4.2 合同签订后7日内，甲方向乙方支付合同总价30%的预付款;完工后支付至合同总价的70%;验收合格后，支付至合同总价的85%;工程结算完成后，乙方开具</w:t>
      </w:r>
      <w:r>
        <w:rPr>
          <w:rFonts w:hint="eastAsia" w:ascii="仿宋" w:hAnsi="仿宋" w:eastAsia="仿宋" w:cs="宋体"/>
          <w:sz w:val="24"/>
          <w:szCs w:val="24"/>
        </w:rPr>
        <w:t>全额增值税专用发票后，甲方向乙方支付至结算审定值的97%，扣留3%质量保证金，待缺</w:t>
      </w:r>
      <w:r>
        <w:rPr>
          <w:rFonts w:hint="eastAsia" w:ascii="仿宋" w:hAnsi="仿宋" w:eastAsia="仿宋" w:cs="宋体"/>
          <w:color w:val="000000"/>
          <w:sz w:val="24"/>
          <w:szCs w:val="24"/>
        </w:rPr>
        <w:t>陷责任期满后无息结算付清。缺陷责任期为2年，自建设单位竣工验收合格之日起计算。</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4.3上述付款节点及比例按建设单位向甲方实际支付工程款的比例给予乙方同比例支付。乙方承诺与甲方共同承担本项目的资金压力，本条约定是投标人投标或报价前招标人向投标人明示的条件，相应的风险及财务资金成本乙方已在报价中予以考虑，乙方充分响应并确认同意：甲方收到建设单位相应节点付款后向乙方支付对应节点款项，如建设单位付款不及时或付款比例降低（未按照建设单位与甲方所签合同约定的付款约定支付工程款），甲方有权根据建设单位的实际付款情况延期支付或同比例支付乙方节点款项，乙方须无条件接受，甲方不承担因建设单位付款不及时而延期付款的违约责任。</w:t>
      </w:r>
    </w:p>
    <w:p>
      <w:pPr>
        <w:tabs>
          <w:tab w:val="left" w:pos="567"/>
        </w:tabs>
        <w:spacing w:afterLines="50" w:line="560" w:lineRule="exact"/>
        <w:outlineLvl w:val="2"/>
        <w:rPr>
          <w:rFonts w:ascii="仿宋" w:hAnsi="仿宋" w:eastAsia="仿宋"/>
          <w:b/>
          <w:sz w:val="28"/>
          <w:szCs w:val="28"/>
        </w:rPr>
      </w:pPr>
      <w:bookmarkStart w:id="7" w:name="_Toc144479366"/>
      <w:r>
        <w:rPr>
          <w:rFonts w:hint="eastAsia" w:ascii="仿宋" w:hAnsi="仿宋" w:eastAsia="仿宋"/>
          <w:b/>
          <w:sz w:val="28"/>
          <w:szCs w:val="28"/>
        </w:rPr>
        <w:t>5.技术标准和施工要求</w:t>
      </w:r>
      <w:bookmarkEnd w:id="7"/>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5.1.</w:t>
      </w:r>
      <w:r>
        <w:rPr>
          <w:rFonts w:ascii="仿宋" w:hAnsi="仿宋" w:eastAsia="仿宋" w:cs="宋体"/>
          <w:color w:val="000000"/>
          <w:sz w:val="24"/>
          <w:szCs w:val="24"/>
        </w:rPr>
        <w:t>本工程应按国家、建设部、工程施工技术（验收）规程、规范标准施工。</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5.2.</w:t>
      </w:r>
      <w:r>
        <w:rPr>
          <w:rFonts w:ascii="仿宋" w:hAnsi="仿宋" w:eastAsia="仿宋" w:cs="宋体"/>
          <w:color w:val="000000"/>
          <w:sz w:val="24"/>
          <w:szCs w:val="24"/>
        </w:rPr>
        <w:t xml:space="preserve">严格按照施工图纸、工程量清单及有关技术要求、文件、资料进行施工。 </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5.3.</w:t>
      </w:r>
      <w:r>
        <w:rPr>
          <w:rFonts w:ascii="仿宋" w:hAnsi="仿宋" w:eastAsia="仿宋" w:cs="宋体"/>
          <w:color w:val="000000"/>
          <w:sz w:val="24"/>
          <w:szCs w:val="24"/>
        </w:rPr>
        <w:t>工程完成后协调与当地供电部门的正常供电工作，保证用户按时供电。</w:t>
      </w:r>
    </w:p>
    <w:p>
      <w:pPr>
        <w:tabs>
          <w:tab w:val="left" w:pos="567"/>
        </w:tabs>
        <w:spacing w:afterLines="50" w:line="560" w:lineRule="exact"/>
        <w:outlineLvl w:val="2"/>
        <w:rPr>
          <w:rFonts w:ascii="仿宋" w:hAnsi="仿宋" w:eastAsia="仿宋"/>
          <w:b/>
          <w:sz w:val="28"/>
          <w:szCs w:val="28"/>
        </w:rPr>
      </w:pPr>
      <w:bookmarkStart w:id="8" w:name="_Toc144479367"/>
      <w:r>
        <w:rPr>
          <w:rFonts w:hint="eastAsia" w:ascii="仿宋" w:hAnsi="仿宋" w:eastAsia="仿宋"/>
          <w:b/>
          <w:sz w:val="28"/>
          <w:szCs w:val="28"/>
        </w:rPr>
        <w:t>6.缺陷责任及工程保修</w:t>
      </w:r>
      <w:bookmarkEnd w:id="8"/>
    </w:p>
    <w:p>
      <w:pPr>
        <w:spacing w:after="156"/>
        <w:rPr>
          <w:rFonts w:ascii="仿宋" w:hAnsi="仿宋" w:eastAsia="仿宋"/>
          <w:sz w:val="24"/>
          <w:szCs w:val="24"/>
        </w:rPr>
      </w:pPr>
      <w:bookmarkStart w:id="9" w:name="_Toc144111623"/>
      <w:r>
        <w:rPr>
          <w:rFonts w:hint="eastAsia" w:ascii="仿宋" w:hAnsi="仿宋" w:eastAsia="仿宋"/>
          <w:sz w:val="24"/>
          <w:szCs w:val="24"/>
        </w:rPr>
        <w:t xml:space="preserve">     </w:t>
      </w:r>
      <w:r>
        <w:rPr>
          <w:rFonts w:ascii="仿宋" w:hAnsi="仿宋" w:eastAsia="仿宋"/>
          <w:sz w:val="24"/>
          <w:szCs w:val="24"/>
        </w:rPr>
        <w:t xml:space="preserve">6.1.缺陷责任期 </w:t>
      </w:r>
      <w:r>
        <w:rPr>
          <w:rFonts w:hint="eastAsia" w:ascii="仿宋" w:hAnsi="仿宋" w:eastAsia="仿宋"/>
          <w:sz w:val="24"/>
          <w:szCs w:val="24"/>
        </w:rPr>
        <w:t>：本工程约定缺陷责任期为</w:t>
      </w:r>
      <w:r>
        <w:rPr>
          <w:rFonts w:ascii="仿宋" w:hAnsi="仿宋" w:eastAsia="仿宋"/>
          <w:sz w:val="24"/>
          <w:szCs w:val="24"/>
        </w:rPr>
        <w:t>2年，自竣工验收合格之日起计。</w:t>
      </w:r>
      <w:bookmarkEnd w:id="9"/>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6.2.工程保修期：本工程约定保修期限为2年，自竣工验收合格之日起计算。</w:t>
      </w:r>
    </w:p>
    <w:p>
      <w:pPr>
        <w:tabs>
          <w:tab w:val="left" w:pos="567"/>
        </w:tabs>
        <w:spacing w:afterLines="50" w:line="560" w:lineRule="exact"/>
        <w:outlineLvl w:val="2"/>
        <w:rPr>
          <w:rFonts w:ascii="仿宋" w:hAnsi="仿宋" w:eastAsia="仿宋"/>
          <w:b/>
          <w:sz w:val="28"/>
          <w:szCs w:val="28"/>
        </w:rPr>
      </w:pPr>
      <w:bookmarkStart w:id="10" w:name="_Toc144479368"/>
      <w:r>
        <w:rPr>
          <w:rFonts w:hint="eastAsia" w:ascii="仿宋" w:hAnsi="仿宋" w:eastAsia="仿宋"/>
          <w:b/>
          <w:sz w:val="28"/>
          <w:szCs w:val="28"/>
        </w:rPr>
        <w:t>7.安全文明施工</w:t>
      </w:r>
      <w:bookmarkEnd w:id="10"/>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w:t>
      </w:r>
    </w:p>
    <w:p>
      <w:pPr>
        <w:tabs>
          <w:tab w:val="left" w:pos="567"/>
        </w:tabs>
        <w:spacing w:afterLines="50" w:line="560" w:lineRule="exact"/>
        <w:outlineLvl w:val="2"/>
        <w:rPr>
          <w:rFonts w:ascii="仿宋" w:hAnsi="仿宋" w:eastAsia="仿宋" w:cs="宋体"/>
          <w:color w:val="000000"/>
          <w:sz w:val="24"/>
          <w:szCs w:val="24"/>
        </w:rPr>
      </w:pPr>
      <w:bookmarkStart w:id="11" w:name="_Toc144479369"/>
      <w:r>
        <w:rPr>
          <w:rFonts w:hint="eastAsia" w:ascii="仿宋" w:hAnsi="仿宋" w:eastAsia="仿宋"/>
          <w:b/>
          <w:sz w:val="28"/>
          <w:szCs w:val="28"/>
        </w:rPr>
        <w:t>8.招标工程量清单及控制价</w:t>
      </w:r>
      <w:r>
        <w:rPr>
          <w:rFonts w:hint="eastAsia" w:ascii="仿宋" w:hAnsi="仿宋" w:eastAsia="仿宋"/>
          <w:sz w:val="28"/>
          <w:szCs w:val="28"/>
        </w:rPr>
        <w:t>：</w:t>
      </w:r>
      <w:r>
        <w:rPr>
          <w:rFonts w:hint="eastAsia" w:ascii="仿宋" w:hAnsi="仿宋" w:eastAsia="仿宋" w:cs="宋体"/>
          <w:color w:val="000000"/>
          <w:sz w:val="24"/>
          <w:szCs w:val="24"/>
        </w:rPr>
        <w:t>表中所列单价均为含税全包综合单价，不再计取其他任何费用。</w:t>
      </w:r>
      <w:bookmarkEnd w:id="11"/>
    </w:p>
    <w:p>
      <w:pPr>
        <w:spacing w:after="156"/>
        <w:rPr>
          <w:rFonts w:ascii="仿宋" w:hAnsi="仿宋" w:eastAsia="仿宋"/>
          <w:b/>
          <w:sz w:val="28"/>
          <w:szCs w:val="28"/>
        </w:rPr>
      </w:pPr>
      <w:r>
        <w:rPr>
          <w:rFonts w:hint="eastAsia" w:ascii="仿宋" w:hAnsi="仿宋" w:eastAsia="仿宋"/>
          <w:b/>
          <w:sz w:val="28"/>
          <w:szCs w:val="28"/>
        </w:rPr>
        <w:t>配电室（内线、外线）劳务控制价汇总表：</w:t>
      </w:r>
    </w:p>
    <w:tbl>
      <w:tblPr>
        <w:tblStyle w:val="27"/>
        <w:tblW w:w="5000" w:type="pct"/>
        <w:tblInd w:w="0" w:type="dxa"/>
        <w:tblLayout w:type="autofit"/>
        <w:tblCellMar>
          <w:top w:w="0" w:type="dxa"/>
          <w:left w:w="108" w:type="dxa"/>
          <w:bottom w:w="0" w:type="dxa"/>
          <w:right w:w="108" w:type="dxa"/>
        </w:tblCellMar>
      </w:tblPr>
      <w:tblGrid>
        <w:gridCol w:w="850"/>
        <w:gridCol w:w="3785"/>
        <w:gridCol w:w="850"/>
        <w:gridCol w:w="851"/>
        <w:gridCol w:w="1904"/>
        <w:gridCol w:w="1046"/>
      </w:tblGrid>
      <w:tr>
        <w:tblPrEx>
          <w:tblCellMar>
            <w:top w:w="0" w:type="dxa"/>
            <w:left w:w="108" w:type="dxa"/>
            <w:bottom w:w="0" w:type="dxa"/>
            <w:right w:w="108" w:type="dxa"/>
          </w:tblCellMar>
        </w:tblPrEx>
        <w:trPr>
          <w:trHeight w:val="375"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序号</w:t>
            </w:r>
          </w:p>
        </w:tc>
        <w:tc>
          <w:tcPr>
            <w:tcW w:w="20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明细</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单位</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数量</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含税金额（元）</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税率</w:t>
            </w:r>
          </w:p>
        </w:tc>
      </w:tr>
      <w:tr>
        <w:tblPrEx>
          <w:tblCellMar>
            <w:top w:w="0" w:type="dxa"/>
            <w:left w:w="108" w:type="dxa"/>
            <w:bottom w:w="0" w:type="dxa"/>
            <w:right w:w="108" w:type="dxa"/>
          </w:tblCellMar>
        </w:tblPrEx>
        <w:trPr>
          <w:trHeight w:val="37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1</w:t>
            </w:r>
          </w:p>
        </w:tc>
        <w:tc>
          <w:tcPr>
            <w:tcW w:w="204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劳务内线</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0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2202857.06</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r>
      <w:tr>
        <w:tblPrEx>
          <w:tblCellMar>
            <w:top w:w="0" w:type="dxa"/>
            <w:left w:w="108" w:type="dxa"/>
            <w:bottom w:w="0" w:type="dxa"/>
            <w:right w:w="108" w:type="dxa"/>
          </w:tblCellMar>
        </w:tblPrEx>
        <w:trPr>
          <w:trHeight w:val="37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2</w:t>
            </w:r>
          </w:p>
        </w:tc>
        <w:tc>
          <w:tcPr>
            <w:tcW w:w="204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劳务外线</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0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675885.32</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r>
      <w:tr>
        <w:tblPrEx>
          <w:tblCellMar>
            <w:top w:w="0" w:type="dxa"/>
            <w:left w:w="108" w:type="dxa"/>
            <w:bottom w:w="0" w:type="dxa"/>
            <w:right w:w="108" w:type="dxa"/>
          </w:tblCellMar>
        </w:tblPrEx>
        <w:trPr>
          <w:trHeight w:val="37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3</w:t>
            </w:r>
          </w:p>
        </w:tc>
        <w:tc>
          <w:tcPr>
            <w:tcW w:w="204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10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2878742.38</w:t>
            </w:r>
          </w:p>
        </w:tc>
        <w:tc>
          <w:tcPr>
            <w:tcW w:w="5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r>
    </w:tbl>
    <w:p>
      <w:pPr>
        <w:tabs>
          <w:tab w:val="left" w:pos="567"/>
        </w:tabs>
        <w:spacing w:afterLines="50" w:line="560" w:lineRule="exact"/>
        <w:outlineLvl w:val="2"/>
        <w:rPr>
          <w:rFonts w:ascii="仿宋" w:hAnsi="仿宋" w:eastAsia="仿宋"/>
          <w:sz w:val="28"/>
          <w:szCs w:val="28"/>
        </w:rPr>
      </w:pPr>
    </w:p>
    <w:p>
      <w:pPr>
        <w:rPr>
          <w:rFonts w:ascii="仿宋" w:hAnsi="仿宋" w:eastAsia="仿宋"/>
          <w:b/>
          <w:sz w:val="24"/>
          <w:szCs w:val="24"/>
        </w:rPr>
      </w:pP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配电室(内线)劳务控制价清单:</w:t>
      </w:r>
    </w:p>
    <w:tbl>
      <w:tblPr>
        <w:tblStyle w:val="27"/>
        <w:tblW w:w="5000" w:type="pct"/>
        <w:tblInd w:w="0" w:type="dxa"/>
        <w:tblLayout w:type="fixed"/>
        <w:tblCellMar>
          <w:top w:w="0" w:type="dxa"/>
          <w:left w:w="108" w:type="dxa"/>
          <w:bottom w:w="0" w:type="dxa"/>
          <w:right w:w="108" w:type="dxa"/>
        </w:tblCellMar>
      </w:tblPr>
      <w:tblGrid>
        <w:gridCol w:w="589"/>
        <w:gridCol w:w="4197"/>
        <w:gridCol w:w="674"/>
        <w:gridCol w:w="1057"/>
        <w:gridCol w:w="1176"/>
        <w:gridCol w:w="1593"/>
      </w:tblGrid>
      <w:tr>
        <w:tblPrEx>
          <w:tblCellMar>
            <w:top w:w="0" w:type="dxa"/>
            <w:left w:w="108" w:type="dxa"/>
            <w:bottom w:w="0" w:type="dxa"/>
            <w:right w:w="108" w:type="dxa"/>
          </w:tblCellMar>
        </w:tblPrEx>
        <w:trPr>
          <w:trHeight w:val="255" w:hRule="atLeast"/>
        </w:trPr>
        <w:tc>
          <w:tcPr>
            <w:tcW w:w="3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项目名称</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项目特征</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计量</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单位</w:t>
            </w:r>
          </w:p>
        </w:tc>
        <w:tc>
          <w:tcPr>
            <w:tcW w:w="5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工程量</w:t>
            </w:r>
          </w:p>
        </w:tc>
        <w:tc>
          <w:tcPr>
            <w:tcW w:w="149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金额（元 ）</w:t>
            </w:r>
          </w:p>
        </w:tc>
      </w:tr>
      <w:tr>
        <w:tblPrEx>
          <w:tblCellMar>
            <w:top w:w="0" w:type="dxa"/>
            <w:left w:w="108" w:type="dxa"/>
            <w:bottom w:w="0" w:type="dxa"/>
            <w:right w:w="108" w:type="dxa"/>
          </w:tblCellMar>
        </w:tblPrEx>
        <w:trPr>
          <w:trHeight w:val="452" w:hRule="atLeast"/>
        </w:trPr>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22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3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56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控制单价</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合价</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26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高实雅苑项目电力安装工程</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6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1.名称:高压PT柜G01/G08</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2.型号:TPS6-12-P</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1744.56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3489.12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1.名称:高压进线柜G02/G07</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2.型号:TPS6-12-K</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1744.56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3489.12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1.名称:高压出线柜G03/G04/G05/G06</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2.型号:TPS6-12-T</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1744.85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6979.40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高压成套配电柜DTU</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1.名称:DTU</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1744.85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3489.70</w:t>
            </w:r>
          </w:p>
        </w:tc>
      </w:tr>
      <w:tr>
        <w:tblPrEx>
          <w:tblCellMar>
            <w:top w:w="0" w:type="dxa"/>
            <w:left w:w="108" w:type="dxa"/>
            <w:bottom w:w="0" w:type="dxa"/>
            <w:right w:w="108" w:type="dxa"/>
          </w:tblCellMar>
        </w:tblPrEx>
        <w:trPr>
          <w:trHeight w:val="268"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干式变压器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1.名称:干式变压器（带外壳）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2.型号:SCB14-800KVA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3.容量(kV·A):800KVA</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4.电压(kV):详见图纸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5.油过滤要求:详见图纸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6.干燥要求:详见图纸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7.基础型钢形式、规格:详见图纸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8.网门、保护门材质、规格:详见图纸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9.温控箱型号、规格:详见图纸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2903.30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11613.20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1.名称:变压器、低压柜与封闭母线搭接主铜排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729.48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35015.04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1.名称:变压器搭接零排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729.48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8753.76</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1.名称:变压器搭接地排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729.48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8753.76</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2.型号:HY［5］WZ［1］-17/45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4.电压等级:10KV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5.安装部位:变压器高压侧</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1068.34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4273.36</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2.型号:Y［1.5］W-0.5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4.电压等级:0.4KV</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5.安装部位:变压器低压侧</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251.82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1007.28</w:t>
            </w:r>
          </w:p>
        </w:tc>
      </w:tr>
      <w:tr>
        <w:tblPrEx>
          <w:tblCellMar>
            <w:top w:w="0" w:type="dxa"/>
            <w:left w:w="108" w:type="dxa"/>
            <w:bottom w:w="0" w:type="dxa"/>
            <w:right w:w="108" w:type="dxa"/>
          </w:tblCellMar>
        </w:tblPrEx>
        <w:trPr>
          <w:trHeight w:val="24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2.型号、规格:ZC-YJV22-10-3*70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3.材质:详见图纸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4.敷设方式、部位:详见图纸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5.电压等级(kv):详见图纸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4.电压等级(kv):详见图纸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4.敷设方式、部位:桥架敷设</w:t>
            </w:r>
            <w:r>
              <w:rPr>
                <w:rFonts w:hint="eastAsia" w:ascii="仿宋" w:hAnsi="仿宋" w:eastAsia="仿宋" w:cs="Arial"/>
                <w:kern w:val="0"/>
                <w:sz w:val="24"/>
                <w:szCs w:val="24"/>
              </w:rPr>
              <w:br w:type="textWrapping"/>
            </w:r>
            <w:r>
              <w:rPr>
                <w:rFonts w:hint="eastAsia" w:ascii="仿宋" w:hAnsi="仿宋" w:eastAsia="仿宋" w:cs="Arial"/>
                <w:kern w:val="0"/>
                <w:sz w:val="24"/>
                <w:szCs w:val="24"/>
              </w:rPr>
              <w:t>5.电压等级(kV):10KVA</w:t>
            </w:r>
            <w:r>
              <w:rPr>
                <w:rFonts w:hint="eastAsia" w:ascii="仿宋" w:hAnsi="仿宋" w:eastAsia="仿宋" w:cs="Arial"/>
                <w:kern w:val="0"/>
                <w:sz w:val="24"/>
                <w:szCs w:val="24"/>
              </w:rPr>
              <w:br w:type="textWrapping"/>
            </w:r>
            <w:r>
              <w:rPr>
                <w:rFonts w:hint="eastAsia" w:ascii="仿宋" w:hAnsi="仿宋" w:eastAsia="仿宋" w:cs="Arial"/>
                <w:kern w:val="0"/>
                <w:sz w:val="24"/>
                <w:szCs w:val="24"/>
              </w:rPr>
              <w:t>6.含泄漏、耐压试验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20.60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2060.00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1.名称:10KV户内电缆终端头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2.型号、规格:ZC-YJV22-10-3*70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3.材质、类型:铜质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5.电压等级(kV):10KV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1252.34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10018.72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1.名称:1#主变进线柜D01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22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低压电容器柜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1.名称:1#电容器柜D02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3.规格:300Kvar</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1.名称:联络柜D05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1.名称:出线柜D06</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1.名称:出线柜D07</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24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低压电容器柜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1.名称:电容器柜D08</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3.规格:300Kvar</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1.名称:主变进线柜D09</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1.名称:主变进线柜D10</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24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低压电容器柜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1.名称:3#电容器柜D11</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3.规格:300Kvar</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1.名称:出线柜D12</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1.名称:出线柜D13</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1.名称:出线柜D14</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1.名称:分段柜D15</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1.名称:出线柜D16</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1.名称:出线柜D17</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24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低压电容器柜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1.名称:4#电容器柜D18</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3.规格:300Kvar</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1.名称:4主变进线柜D19</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2.型号:SLVA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1232.78</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1.名称:低压柜横母线安装A/B/C/N/PE</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3.材质:铜质</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103.11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2062.20</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低压封闭式插接母线槽</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1.名称:低压封闭插接铜母线安装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2.容量(A):1600A，三相五线制</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3.安装部位:室内</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4100.12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82002.40</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始端箱、分线箱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1.名称:始端箱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2.型号、规格:2000A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4.容量(A):2000A</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3399.87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40798.44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1.名称:电缆泥</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2.材质:绝缘泥</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514.08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2056.32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2.型号:KVVP-5*2.5mm2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3.规格:0.4KV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5.敷设方式、部位:电缆沟</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334.20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2.型号:ZR-YJV-5*6mm2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3.规格:0.4KV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5.敷设方式、部位:电缆沟</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668.40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1.名称:接地体</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2.材质:镀锌扁钢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3.规格:-50*5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4.安装部位:变配电室</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5.安装形式:沿墙明敷</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69.20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39.40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2726.48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1.名称:接地体</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2.材质:镀锌扁钢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3.规格:-50*5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4.安装部位:变配电室</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5.安装形式:，水泥地面开槽安装，恢复地面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57.60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130.83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7535.81</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等电位端子箱、测试板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1.名称:接地测试端子</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3.规格:详见设计图纸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79.92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799.20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1.名称:基础槽钢，水泥地面开槽安装，恢复地面</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25.60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171.26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4384.26</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1.名称:基础槽钢，水泥地面开槽安装，恢复地面</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3.规格:8#</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25.14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140.89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3541.97</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角钢电缆支架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1.名称:角钢电缆支架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2.材质:角钢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3.规格:L40*4</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kg</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157.77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3786.48</w:t>
            </w:r>
          </w:p>
        </w:tc>
      </w:tr>
      <w:tr>
        <w:tblPrEx>
          <w:tblCellMar>
            <w:top w:w="0" w:type="dxa"/>
            <w:left w:w="108" w:type="dxa"/>
            <w:bottom w:w="0" w:type="dxa"/>
            <w:right w:w="108" w:type="dxa"/>
          </w:tblCellMar>
        </w:tblPrEx>
        <w:trPr>
          <w:trHeight w:val="997"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模拟屏</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1.名称:模拟屏安装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2.型号:依据现场定制，满足验收要求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14225.28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14225.28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1.电压等级(kV):10kV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1767.58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3535.16</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1.名称:母线系统调试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段</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1700.96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3401.92</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电力变压器系统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1.名称:变压器调试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2.型号:SCB10-800KVA</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3.容量(kV·A):800KVA</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2538.25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10153.00</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电缆试验</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次(根、点)</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1490.92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5963.68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1.名称:避雷器调试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335.24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2681.92</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1.名称:400V母线调试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2.电压等级(kV):400V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段</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536.04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1072.08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电容器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2.电压等级(kV):0.4KV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1055.08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4220.32</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52</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接地装置</w:t>
            </w:r>
            <w:r>
              <w:rPr>
                <w:rFonts w:hint="eastAsia" w:ascii="仿宋" w:hAnsi="仿宋" w:eastAsia="仿宋" w:cs="Arial"/>
                <w:kern w:val="0"/>
                <w:sz w:val="24"/>
                <w:szCs w:val="24"/>
              </w:rPr>
              <w:br w:type="textWrapping"/>
            </w:r>
            <w:r>
              <w:rPr>
                <w:rFonts w:hint="eastAsia" w:ascii="仿宋" w:hAnsi="仿宋" w:eastAsia="仿宋" w:cs="Arial"/>
                <w:kern w:val="0"/>
                <w:sz w:val="24"/>
                <w:szCs w:val="24"/>
              </w:rPr>
              <w:t>1.配电室内接地系统调试</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645.89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645.89</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1.电压等级(kV):400V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615.37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615.37</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电容器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1055.08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4220.32</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绝缘垫</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m2</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324.57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14281.08</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不锈钢站名牌、公示牌、标志牌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1708.29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1708.29</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配电室安全工具，挡鼠板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9490.50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9490.50</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灭火器、除湿机等</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9870.11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9870.11</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轴流通风机</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1.名称:轴流风机</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2.型号:满足设计及规范要求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3.规格:Φ500，0.75KW</w:t>
            </w:r>
            <w:r>
              <w:rPr>
                <w:rFonts w:hint="eastAsia" w:ascii="仿宋" w:hAnsi="仿宋" w:eastAsia="仿宋" w:cs="Arial"/>
                <w:kern w:val="0"/>
                <w:sz w:val="24"/>
                <w:szCs w:val="24"/>
              </w:rPr>
              <w:br w:type="textWrapping"/>
            </w:r>
            <w:r>
              <w:rPr>
                <w:rFonts w:hint="eastAsia" w:ascii="仿宋" w:hAnsi="仿宋" w:eastAsia="仿宋" w:cs="Arial"/>
                <w:kern w:val="0"/>
                <w:sz w:val="24"/>
                <w:szCs w:val="24"/>
              </w:rPr>
              <w:t>4.质量:</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5.材质:满足设计及规范要求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6.单机试运转要求:满足设计及规范要求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911.74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1823.48</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网络服务器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1.名称:通讯柜（配DTU）</w:t>
            </w:r>
            <w:r>
              <w:rPr>
                <w:rFonts w:hint="eastAsia" w:ascii="仿宋" w:hAnsi="仿宋" w:eastAsia="仿宋" w:cs="Arial"/>
                <w:kern w:val="0"/>
                <w:sz w:val="24"/>
                <w:szCs w:val="24"/>
              </w:rPr>
              <w:br w:type="textWrapping"/>
            </w:r>
            <w:r>
              <w:rPr>
                <w:rFonts w:hint="eastAsia" w:ascii="仿宋" w:hAnsi="仿宋" w:eastAsia="仿宋" w:cs="Arial"/>
                <w:kern w:val="0"/>
                <w:sz w:val="24"/>
                <w:szCs w:val="24"/>
              </w:rPr>
              <w:t>2.类别:详见图纸设计要求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3.规格:详见图纸设计要求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280.39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280.39</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2.材质:塑料</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5.工作内容：测位、打眼、上胀塞、固定、修孔</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9.99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349.65</w:t>
            </w:r>
          </w:p>
        </w:tc>
      </w:tr>
      <w:tr>
        <w:tblPrEx>
          <w:tblCellMar>
            <w:top w:w="0" w:type="dxa"/>
            <w:left w:w="108" w:type="dxa"/>
            <w:bottom w:w="0" w:type="dxa"/>
            <w:right w:w="108" w:type="dxa"/>
          </w:tblCellMar>
        </w:tblPrEx>
        <w:trPr>
          <w:trHeight w:val="1698"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62</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电缆桥架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2.规格型号:800*200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3.表面处理要求:满足防火要求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4.其他:详见图纸要求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536.56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16096.80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63</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电缆桥架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2.规格型号:600*200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3.表面处理要求:满足防火要求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4.其他:详见图纸要求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431.12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4311.20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2.规格型号:400*200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3.表面处理要求:满足防火要求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4.其他:详见图纸要求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267.63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13381.50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防火堵洞(隔板)、孔洞封堵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1.名称:孔洞防火封堵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2.材质:按设计要求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3.方式:按设计要求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4.部位:按设计要求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m2</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242.16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726.48</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不锈钢栏杆</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263.84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3693.76</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气体报警装置</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5409.59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5409.59</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4.规格:4mm2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480.00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1.名称:ZR-BV-0.5-4-2.5</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4.规格:2.5mm2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1057.50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3.规格:φ50</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70.10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2103.00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2.材质:塑料</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5.工作内容：测位、打眼、上胀塞、固定、修孔</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9.99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349.65</w:t>
            </w:r>
          </w:p>
        </w:tc>
      </w:tr>
      <w:tr>
        <w:tblPrEx>
          <w:tblCellMar>
            <w:top w:w="0" w:type="dxa"/>
            <w:left w:w="108" w:type="dxa"/>
            <w:bottom w:w="0" w:type="dxa"/>
            <w:right w:w="108" w:type="dxa"/>
          </w:tblCellMar>
        </w:tblPrEx>
        <w:trPr>
          <w:trHeight w:val="22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2.型号:YJV-5*16</w:t>
            </w:r>
            <w:r>
              <w:rPr>
                <w:rFonts w:hint="eastAsia" w:ascii="仿宋" w:hAnsi="仿宋" w:eastAsia="仿宋" w:cs="Arial"/>
                <w:kern w:val="0"/>
                <w:sz w:val="24"/>
                <w:szCs w:val="24"/>
              </w:rPr>
              <w:br w:type="textWrapping"/>
            </w:r>
            <w:r>
              <w:rPr>
                <w:rFonts w:hint="eastAsia" w:ascii="仿宋" w:hAnsi="仿宋" w:eastAsia="仿宋" w:cs="Arial"/>
                <w:kern w:val="0"/>
                <w:sz w:val="24"/>
                <w:szCs w:val="24"/>
              </w:rPr>
              <w:t>3.材质:铜芯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4.敷设方式、部位:管内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5.电压等级(kv):综合考虑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6.地形:综合考虑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7.工作内容：开盘、检查、敷设、锯断、排列、整理、固定、收盘、临时封头、挂牌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445.60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3.规格:φ25</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42.80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12840.00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电缆终端头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1.名称:电缆终端头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2.型号:满足设计要求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3.规格:5*16</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6.电压(kV):综合考虑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187.81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751.24</w:t>
            </w:r>
          </w:p>
        </w:tc>
      </w:tr>
      <w:tr>
        <w:tblPrEx>
          <w:tblCellMar>
            <w:top w:w="0" w:type="dxa"/>
            <w:left w:w="108" w:type="dxa"/>
            <w:bottom w:w="0" w:type="dxa"/>
            <w:right w:w="108" w:type="dxa"/>
          </w:tblCellMar>
        </w:tblPrEx>
        <w:trPr>
          <w:trHeight w:val="20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双电源配电箱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1.名称:动力照明配电箱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2.型号:PXT(R)-4-3x4/1C</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360.48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360.48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1.名称:五孔插座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2.材质:满足设计和规范要求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3.规格:250V,10A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5.工作内容:清扫盒子、装插座、接线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199.92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1.名称:五孔插座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2.材质:满足设计和规范要求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3.规格:250V,16A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4.安装方式:按设计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5.工作内容:清扫盒子、装插座、接线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36.73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36.73</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照明开关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1.名称:单联双控开关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2.材质:按设计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5.工作内容:清扫盒子、装开关、接线、装盖</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107.12</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荧光灯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1.名称:双管荧光灯(带蓄电池)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2.型号:2x40W</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145.58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1746.96</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普通灯具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1.名称:壁灯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3.规格:60w  220v</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82.93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165.86</w:t>
            </w:r>
          </w:p>
        </w:tc>
      </w:tr>
      <w:tr>
        <w:tblPrEx>
          <w:tblCellMar>
            <w:top w:w="0" w:type="dxa"/>
            <w:left w:w="108" w:type="dxa"/>
            <w:bottom w:w="0" w:type="dxa"/>
            <w:right w:w="108" w:type="dxa"/>
          </w:tblCellMar>
        </w:tblPrEx>
        <w:trPr>
          <w:trHeight w:val="20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应急灯具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1.名称:LED双头灯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2.型号:60W  ~220V 自带蓄电池（≥30min）</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4.类型:吸顶安装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82.93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165.86</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环网柜基础</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16.89</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774.39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13079.45</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现浇构件钢筋</w:t>
            </w:r>
            <w:r>
              <w:rPr>
                <w:rFonts w:hint="eastAsia" w:ascii="仿宋" w:hAnsi="仿宋" w:eastAsia="仿宋" w:cs="Arial"/>
                <w:kern w:val="0"/>
                <w:sz w:val="24"/>
                <w:szCs w:val="24"/>
              </w:rPr>
              <w:br w:type="textWrapping"/>
            </w:r>
            <w:r>
              <w:rPr>
                <w:rFonts w:hint="eastAsia" w:ascii="仿宋" w:hAnsi="仿宋" w:eastAsia="仿宋" w:cs="Arial"/>
                <w:kern w:val="0"/>
                <w:sz w:val="24"/>
                <w:szCs w:val="24"/>
              </w:rPr>
              <w:t>1.钢筋种类、规格:14#钢筋</w:t>
            </w:r>
            <w:r>
              <w:rPr>
                <w:rFonts w:hint="eastAsia" w:ascii="仿宋" w:hAnsi="仿宋" w:eastAsia="仿宋" w:cs="Arial"/>
                <w:kern w:val="0"/>
                <w:sz w:val="24"/>
                <w:szCs w:val="24"/>
              </w:rPr>
              <w:br w:type="textWrapping"/>
            </w:r>
            <w:r>
              <w:rPr>
                <w:rFonts w:hint="eastAsia" w:ascii="仿宋" w:hAnsi="仿宋" w:eastAsia="仿宋" w:cs="Arial"/>
                <w:kern w:val="0"/>
                <w:sz w:val="24"/>
                <w:szCs w:val="24"/>
              </w:rPr>
              <w:t>2.部位:</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t</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1.216</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6043.35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7348.71</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2.材质:50*50*5角钢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3.规格:单四支架</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kg</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86.46</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27.00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2334.42</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1.名称:#1进线柜D01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86</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1.名称:#1出线柜D02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1.名称:#1出线柜D03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1.名称:#2进线柜D04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89</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1.名称:#2出线柜D05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90</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1.名称:#2出线柜D06</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1.名称:#3进线柜D07</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92</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1.名称:#3出线柜D08</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93</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1.名称:#3出线柜D09</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1.名称:#4进线柜D10</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95</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1.名称:#4出线柜D11</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低压成套配电柜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1.名称:#4出线柜D12</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3.母线配置方式:详见图纸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1197.88</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1.名称:火灾监控主机安装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5.安装方式:挂墙</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3262.35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3262.35</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2.型号:YJV-5*16</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5.敷设方式、部位:管内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8.工作内容：开盘、检查、敷设、锯断、排列、整理、固定、收盘、临时封头、挂牌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430.40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4.规格:4mm2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187.20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1.名称:ZR-BV-0.5-4-2.5</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4.规格:2.5mm2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175.00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399.00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3.规格:φ50</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46.18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1847.20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3.规格:φ25</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175.00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41.68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7294.00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1.名称:动力照明配电箱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2.型号:根据设计图纸定做</w:t>
            </w:r>
            <w:r>
              <w:rPr>
                <w:rFonts w:hint="eastAsia" w:ascii="仿宋" w:hAnsi="仿宋" w:eastAsia="仿宋" w:cs="Arial"/>
                <w:kern w:val="0"/>
                <w:sz w:val="24"/>
                <w:szCs w:val="24"/>
              </w:rPr>
              <w:br w:type="textWrapping"/>
            </w:r>
            <w:r>
              <w:rPr>
                <w:rFonts w:hint="eastAsia" w:ascii="仿宋" w:hAnsi="仿宋" w:eastAsia="仿宋" w:cs="Arial"/>
                <w:kern w:val="0"/>
                <w:sz w:val="24"/>
                <w:szCs w:val="24"/>
              </w:rPr>
              <w:t>3.尺寸：根据设计图纸定做</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3.安装方式:明装，距地1.5m安装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4.工作内容：测定、打孔、固定、查校线、接线、开关及机构调整、接地、补漆。</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349.92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349.92</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1.名称:五孔插座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2.材质:满足设计和规范要求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3.规格:250V,10A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5.工作内容:清扫盒子、装插座、接线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26.79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160.74</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照明开关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1.名称:单联开关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2.材质:按设计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5.工作内容:清扫盒子、装开关、接线、装盖</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24.92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49.84</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荧光灯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1.名称:双管荧光灯(带蓄电池)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2.型号:2x40W</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144.16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864.96</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普通灯具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1.名称:壁灯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2.型号:60w 220v</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61.70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123.40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1.名称:低压柜横母线安装A/B/C/N/PE</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2.型号规格:详见图纸</w:t>
            </w:r>
          </w:p>
          <w:p>
            <w:pPr>
              <w:widowControl/>
              <w:ind w:left="-21" w:leftChars="-10" w:firstLine="19" w:firstLineChars="8"/>
              <w:jc w:val="left"/>
              <w:rPr>
                <w:rFonts w:ascii="仿宋" w:hAnsi="仿宋" w:eastAsia="仿宋" w:cs="Arial"/>
                <w:kern w:val="0"/>
                <w:sz w:val="24"/>
                <w:szCs w:val="24"/>
              </w:rPr>
            </w:pPr>
            <w:r>
              <w:rPr>
                <w:rFonts w:hint="eastAsia" w:ascii="仿宋" w:hAnsi="仿宋" w:eastAsia="仿宋" w:cs="Arial"/>
                <w:kern w:val="0"/>
                <w:sz w:val="24"/>
                <w:szCs w:val="24"/>
              </w:rPr>
              <w:t>3.材质:铜质</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147.60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1771.20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109</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电缆桥架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2.规格型号:400*200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3.表面处理要求:满足防火要求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4.其他:详见图纸要求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90.53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1629.54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2.规格型号:600*200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3.表面处理要求:满足防火要求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4.其他:详见图纸要求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68.61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2058.30</w:t>
            </w:r>
          </w:p>
        </w:tc>
      </w:tr>
      <w:tr>
        <w:tblPrEx>
          <w:tblCellMar>
            <w:top w:w="0" w:type="dxa"/>
            <w:left w:w="108" w:type="dxa"/>
            <w:bottom w:w="0" w:type="dxa"/>
            <w:right w:w="108" w:type="dxa"/>
          </w:tblCellMar>
        </w:tblPrEx>
        <w:trPr>
          <w:trHeight w:val="268"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防火堵洞(隔板)、孔洞封堵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1.名称:孔洞防火封堵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2.材质:按设计要求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3.方式:按设计要求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4.部位:按设计要求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m2</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175.21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350.42</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安保工器具（绝缘胶垫）</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5694.30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5694.30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2.材质:热镀锌扁钢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3.规格:40*4</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5.安装形式:详见图纸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3336.00</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等电位端子箱、测试板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1.名称:接地测试端子</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3.规格:详见设计图纸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78.19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312.76</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1.名称:基础槽钢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14.40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71.13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1024.27</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116</w:t>
            </w:r>
          </w:p>
        </w:tc>
        <w:tc>
          <w:tcPr>
            <w:tcW w:w="2260" w:type="pct"/>
            <w:tcBorders>
              <w:top w:val="nil"/>
              <w:left w:val="nil"/>
              <w:bottom w:val="single" w:color="auto" w:sz="4" w:space="0"/>
              <w:right w:val="single" w:color="auto" w:sz="4" w:space="0"/>
            </w:tcBorders>
            <w:shd w:val="clear" w:color="auto" w:fill="auto"/>
            <w:vAlign w:val="center"/>
          </w:tcPr>
          <w:p>
            <w:pPr>
              <w:widowControl/>
              <w:spacing w:after="240"/>
              <w:jc w:val="left"/>
              <w:rPr>
                <w:rFonts w:ascii="仿宋" w:hAnsi="仿宋" w:eastAsia="仿宋" w:cs="Arial"/>
                <w:kern w:val="0"/>
                <w:sz w:val="24"/>
                <w:szCs w:val="24"/>
              </w:rPr>
            </w:pPr>
            <w:r>
              <w:rPr>
                <w:rFonts w:hint="eastAsia" w:ascii="仿宋" w:hAnsi="仿宋" w:eastAsia="仿宋" w:cs="Arial"/>
                <w:kern w:val="0"/>
                <w:sz w:val="24"/>
                <w:szCs w:val="24"/>
              </w:rPr>
              <w:t>接地装置</w:t>
            </w:r>
            <w:r>
              <w:rPr>
                <w:rFonts w:hint="eastAsia" w:ascii="仿宋" w:hAnsi="仿宋" w:eastAsia="仿宋" w:cs="Arial"/>
                <w:kern w:val="0"/>
                <w:sz w:val="24"/>
                <w:szCs w:val="24"/>
              </w:rPr>
              <w:br w:type="textWrapping"/>
            </w:r>
            <w:r>
              <w:rPr>
                <w:rFonts w:hint="eastAsia" w:ascii="仿宋" w:hAnsi="仿宋" w:eastAsia="仿宋" w:cs="Arial"/>
                <w:kern w:val="0"/>
                <w:sz w:val="24"/>
                <w:szCs w:val="24"/>
              </w:rPr>
              <w:t>1.配电室内接地系统调试</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1399.35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1399.35</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 1.名称:送配电装置系统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 2.型号:详见图纸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 3.电压等级(kV):1KV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系统</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537.15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537.15</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特殊保护装置</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1.名称:漏电火灾监控</w:t>
            </w:r>
            <w:r>
              <w:rPr>
                <w:rFonts w:hint="eastAsia" w:ascii="仿宋" w:hAnsi="仿宋" w:eastAsia="仿宋" w:cs="Arial"/>
                <w:kern w:val="0"/>
                <w:sz w:val="24"/>
                <w:szCs w:val="24"/>
              </w:rPr>
              <w:br w:type="textWrapping"/>
            </w:r>
            <w:r>
              <w:rPr>
                <w:rFonts w:hint="eastAsia" w:ascii="仿宋" w:hAnsi="仿宋" w:eastAsia="仿宋" w:cs="Arial"/>
                <w:kern w:val="0"/>
                <w:sz w:val="24"/>
                <w:szCs w:val="24"/>
              </w:rPr>
              <w:t>2.类型:1KV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4335.90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4335.90</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kg</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550.00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1622.50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2.材质:塑料</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5.工作内容：测位、打眼、上胀塞、固定、修孔</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9.73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107.03</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电缆终端头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1.名称:电缆终端头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2.型号:满足设计要求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3.规格:5*16</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6.电压(kV):综合考虑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183.76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367.52</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不锈钢站名牌、公示牌、标志牌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1708.29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1708.29</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4.规格:4mm2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468.00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1.名称:ZR-BV-0.5-4-2.5</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2.配线形式:管内穿线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3.型号:ZR-BV-0.5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4.规格:2.5mm2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6.工作内容：扫管、涂滑石粉、穿线、编号、焊接包头</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1026.00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3.规格:φ50</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68.48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2054.40</w:t>
            </w:r>
          </w:p>
        </w:tc>
      </w:tr>
      <w:tr>
        <w:tblPrEx>
          <w:tblCellMar>
            <w:top w:w="0" w:type="dxa"/>
            <w:left w:w="108" w:type="dxa"/>
            <w:bottom w:w="0" w:type="dxa"/>
            <w:right w:w="108" w:type="dxa"/>
          </w:tblCellMar>
        </w:tblPrEx>
        <w:trPr>
          <w:trHeight w:val="22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2.型号:YJV-5*16</w:t>
            </w:r>
            <w:r>
              <w:rPr>
                <w:rFonts w:hint="eastAsia" w:ascii="仿宋" w:hAnsi="仿宋" w:eastAsia="仿宋" w:cs="Arial"/>
                <w:kern w:val="0"/>
                <w:sz w:val="24"/>
                <w:szCs w:val="24"/>
              </w:rPr>
              <w:br w:type="textWrapping"/>
            </w:r>
            <w:r>
              <w:rPr>
                <w:rFonts w:hint="eastAsia" w:ascii="仿宋" w:hAnsi="仿宋" w:eastAsia="仿宋" w:cs="Arial"/>
                <w:kern w:val="0"/>
                <w:sz w:val="24"/>
                <w:szCs w:val="24"/>
              </w:rPr>
              <w:t>3.材质:铜芯</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4.敷设方式、部位:管内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5.电压等级(kv):综合考虑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6.地形:综合考虑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7.工作内容：开盘、检查、敷设、锯断、排列、整理、固定、收盘、临时封头、挂牌</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430.40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3.规格:φ25</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41.68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12504.00</w:t>
            </w:r>
          </w:p>
        </w:tc>
      </w:tr>
      <w:tr>
        <w:tblPrEx>
          <w:tblCellMar>
            <w:top w:w="0" w:type="dxa"/>
            <w:left w:w="108" w:type="dxa"/>
            <w:bottom w:w="0" w:type="dxa"/>
            <w:right w:w="108" w:type="dxa"/>
          </w:tblCellMar>
        </w:tblPrEx>
        <w:trPr>
          <w:trHeight w:val="20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1.名称:动力照明配电箱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2.型号:PXT(R)-4-3x4/1C</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7.安装方式:详见图纸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349.92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349.92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1.名称:五孔插座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2.材质:满足设计和规范要求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3.规格:250V,10A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4.安装方式:暗装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5.工作内容:清扫盒子、装插座、接线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28.00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196.00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照明开关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1.名称:单联双控开关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2.材质:按设计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5.工作内容:清扫盒子、装开关、接线、装盖</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26.26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105.04</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荧光灯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1.名称:双管荧光灯(带蓄电池) </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2.型号:2x40W</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144.16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1729.92</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普通灯具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1.名称:壁灯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3.规格:60w  220v</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4.类型:详见图纸</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81.90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982.80</w:t>
            </w:r>
          </w:p>
        </w:tc>
      </w:tr>
      <w:tr>
        <w:tblPrEx>
          <w:tblCellMar>
            <w:top w:w="0" w:type="dxa"/>
            <w:left w:w="108" w:type="dxa"/>
            <w:bottom w:w="0" w:type="dxa"/>
            <w:right w:w="108" w:type="dxa"/>
          </w:tblCellMar>
        </w:tblPrEx>
        <w:trPr>
          <w:trHeight w:val="977"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应急灯具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1.名称:LED双头灯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2.型号:60W  ~220V 自带蓄电池（≥30min）</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4.类型:吸顶安装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5.工作内容：测位、划线、打眼、上塑料胀塞、灯具安装、接线、接焊包头、接地</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套</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81.90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163.80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1.名称:五孔插座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2.材质:满足设计和规范要求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3.规格:250V,16A</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4.安装方式:按设计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5.工作内容:清扫盒子、装插座、接线</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36.12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36.12</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单相12表位电表箱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1.名称:单相12表位电表箱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473.82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17057.52</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三相1表位电表箱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1.名称:三相1表位电表箱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473.82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947.64</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三相1表位电表箱250A互感器式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1.名称:三相1表位电表箱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473.82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473.82</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计量电度表安装调试</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395.00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87.79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34677.05</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电缆分支箱（一进六出,1~6、8#FZX)</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968.82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6781.74</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电缆分支箱（一进六出,7#、9#FZX)</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968.82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1937.64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94.91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2182.93</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2.型号:4*240+1*120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1782.00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59429.70</w:t>
            </w:r>
          </w:p>
        </w:tc>
      </w:tr>
      <w:tr>
        <w:tblPrEx>
          <w:tblCellMar>
            <w:top w:w="0" w:type="dxa"/>
            <w:left w:w="108" w:type="dxa"/>
            <w:bottom w:w="0" w:type="dxa"/>
            <w:right w:w="108" w:type="dxa"/>
          </w:tblCellMar>
        </w:tblPrEx>
        <w:trPr>
          <w:trHeight w:val="20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2.型号:WDZB-YJY-0.6/1kV-4×150+1×95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731.00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24378.85</w:t>
            </w:r>
          </w:p>
        </w:tc>
      </w:tr>
      <w:tr>
        <w:tblPrEx>
          <w:tblCellMar>
            <w:top w:w="0" w:type="dxa"/>
            <w:left w:w="108" w:type="dxa"/>
            <w:bottom w:w="0" w:type="dxa"/>
            <w:right w:w="108" w:type="dxa"/>
          </w:tblCellMar>
        </w:tblPrEx>
        <w:trPr>
          <w:trHeight w:val="20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2.型号号:WDZBN-YJY-0.6/1kV-4x150+1x120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6403.20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2.型号:4*70+1*25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21.81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11864.64</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2.型号:4*35+1*16</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12.47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3042.68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2.型号:4*240+1*120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517.15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14480.20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2.型号:4*150+1*95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503.01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8048.16</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2.型号:4*70+1*35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343.85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26820.30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单相12表位电表箱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1.名称:单相12表位电表箱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470.20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18337.80</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单相9表位电表箱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1.名称:单相9表位电表箱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470.20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1410.60</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单相6表位电表箱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1.名称:单相6表位电表箱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470.20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470.20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204.34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76423.16</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充电桩防火桥架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1291.40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161.08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208018.71</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电缆桥架支撑架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kg</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7610.67</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11.12</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84630.65</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地上室外电表箱不锈钢挂架，遮阳棚</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1.名称:电表箱安装挂架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2.材质:不锈钢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3.规格:每个电表箱宽0.8米，高2米，厚0.1米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3171.17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19027.02</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电缆分支箱（一进六出,CDZFZX6)</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电缆分支箱（一进六出,CDZFZX7)</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电缆分支箱（一进四出,CDZFZX8)</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电缆分支箱（一进四出,CDZFZX9)</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1.名称:电缆分支箱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4.基础形式、材质、规格:砖砌，填砂</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961.33</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2.型号:4*240+1*120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1737.00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33.35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57928.95</w:t>
            </w:r>
          </w:p>
        </w:tc>
      </w:tr>
      <w:tr>
        <w:tblPrEx>
          <w:tblCellMar>
            <w:top w:w="0" w:type="dxa"/>
            <w:left w:w="108" w:type="dxa"/>
            <w:bottom w:w="0" w:type="dxa"/>
            <w:right w:w="108" w:type="dxa"/>
          </w:tblCellMar>
        </w:tblPrEx>
        <w:trPr>
          <w:trHeight w:val="18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2.型号:4*70+1*35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21.81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15746.82</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2.型号:4*240+1*120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517.15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13445.90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2.型号:4*70+1*35</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343.85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30258.80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2.型号:4*35+1*16</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348.90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32796.60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316.56</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7280.88</w:t>
            </w:r>
          </w:p>
        </w:tc>
      </w:tr>
      <w:tr>
        <w:tblPrEx>
          <w:tblCellMar>
            <w:top w:w="0" w:type="dxa"/>
            <w:left w:w="108" w:type="dxa"/>
            <w:bottom w:w="0" w:type="dxa"/>
            <w:right w:w="108" w:type="dxa"/>
          </w:tblCellMar>
        </w:tblPrEx>
        <w:trPr>
          <w:trHeight w:val="4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人防墙预留密闭套管4*SC150(具体做法见图纸）</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处</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1290.71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1290.71</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2.型号:1000*200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516.88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3101.28</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2.型号:800*200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454.00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21792.00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352.05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38725.50</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666.00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228.00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151848.00</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kg</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4426.67</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11.19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49534.44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抗震支吊架1000*200 T</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433.84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433.84</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抗震支吊架1000*200 TL</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518.65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1037.30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抗震支吊架800*200 T</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430.10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4301.00</w:t>
            </w:r>
          </w:p>
        </w:tc>
      </w:tr>
      <w:tr>
        <w:tblPrEx>
          <w:tblCellMar>
            <w:top w:w="0" w:type="dxa"/>
            <w:left w:w="108" w:type="dxa"/>
            <w:bottom w:w="0" w:type="dxa"/>
            <w:right w:w="108" w:type="dxa"/>
          </w:tblCellMar>
        </w:tblPrEx>
        <w:trPr>
          <w:trHeight w:val="41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抗震支吊架800*200 TL</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513.05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3078.30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抗震支吊架600*200 T</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425.45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10210.80</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抗震支吊架600*200 TL</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508.39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7117.46</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抗震支吊架400*200 T</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134.00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420.78</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56384.52</w:t>
            </w:r>
          </w:p>
        </w:tc>
      </w:tr>
      <w:tr>
        <w:tblPrEx>
          <w:tblCellMar>
            <w:top w:w="0" w:type="dxa"/>
            <w:left w:w="108" w:type="dxa"/>
            <w:bottom w:w="0" w:type="dxa"/>
            <w:right w:w="108" w:type="dxa"/>
          </w:tblCellMar>
        </w:tblPrEx>
        <w:trPr>
          <w:trHeight w:val="112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抗震支吊架400*200 TL</w:t>
            </w:r>
            <w:r>
              <w:rPr>
                <w:rFonts w:hint="eastAsia" w:ascii="仿宋" w:hAnsi="仿宋" w:eastAsia="仿宋" w:cs="Arial"/>
                <w:kern w:val="0"/>
                <w:sz w:val="24"/>
                <w:szCs w:val="24"/>
              </w:rPr>
              <w:br w:type="textWrapping"/>
            </w:r>
            <w:r>
              <w:rPr>
                <w:rFonts w:hint="eastAsia" w:ascii="仿宋" w:hAnsi="仿宋" w:eastAsia="仿宋" w:cs="Arial"/>
                <w:kern w:val="0"/>
                <w:sz w:val="24"/>
                <w:szCs w:val="24"/>
              </w:rPr>
              <w:t>1.材质:热镀锌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2.支吊架形式:侧向桥架抗震支架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3.支架衬垫材质:热镀锌</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4.安装高度:3米</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副</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504.65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33811.55</w:t>
            </w:r>
          </w:p>
        </w:tc>
      </w:tr>
      <w:tr>
        <w:tblPrEx>
          <w:tblCellMar>
            <w:top w:w="0" w:type="dxa"/>
            <w:left w:w="108" w:type="dxa"/>
            <w:bottom w:w="0" w:type="dxa"/>
            <w:right w:w="108" w:type="dxa"/>
          </w:tblCellMar>
        </w:tblPrEx>
        <w:trPr>
          <w:trHeight w:val="15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214.74</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257.69</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挖沟槽土方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1.土壤类别:综合考虑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2.挖土深度:2m以内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3.开挖方式:机械、人工综合考虑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709.20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18.77</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13311.68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挖沟槽石方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1.岩石类别:松石或坚石</w:t>
            </w:r>
            <w:r>
              <w:rPr>
                <w:rFonts w:hint="eastAsia" w:ascii="仿宋" w:hAnsi="仿宋" w:eastAsia="仿宋" w:cs="Arial"/>
                <w:kern w:val="0"/>
                <w:sz w:val="24"/>
                <w:szCs w:val="24"/>
              </w:rPr>
              <w:br w:type="textWrapping"/>
            </w:r>
            <w:r>
              <w:rPr>
                <w:rFonts w:hint="eastAsia" w:ascii="仿宋" w:hAnsi="仿宋" w:eastAsia="仿宋" w:cs="Arial"/>
                <w:kern w:val="0"/>
                <w:sz w:val="24"/>
                <w:szCs w:val="24"/>
              </w:rPr>
              <w:t>2.开凿深度:综合考虑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4963.00</w:t>
            </w:r>
          </w:p>
        </w:tc>
      </w:tr>
      <w:tr>
        <w:tblPrEx>
          <w:tblCellMar>
            <w:top w:w="0" w:type="dxa"/>
            <w:left w:w="108" w:type="dxa"/>
            <w:bottom w:w="0" w:type="dxa"/>
            <w:right w:w="108" w:type="dxa"/>
          </w:tblCellMar>
        </w:tblPrEx>
        <w:trPr>
          <w:trHeight w:val="135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189</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回填方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1.原土回填，包含土方回填、压实等全部费用</w:t>
            </w:r>
            <w:r>
              <w:rPr>
                <w:rFonts w:hint="eastAsia" w:ascii="仿宋" w:hAnsi="仿宋" w:eastAsia="仿宋" w:cs="Arial"/>
                <w:kern w:val="0"/>
                <w:sz w:val="24"/>
                <w:szCs w:val="24"/>
              </w:rPr>
              <w:br w:type="textWrapping"/>
            </w:r>
            <w:r>
              <w:rPr>
                <w:rFonts w:hint="eastAsia" w:ascii="仿宋" w:hAnsi="仿宋" w:eastAsia="仿宋" w:cs="Arial"/>
                <w:kern w:val="0"/>
                <w:sz w:val="24"/>
                <w:szCs w:val="24"/>
              </w:rPr>
              <w:t>2.回填土要求等详见设计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3.工程量计算规则:按2016年山东省建筑工程消耗量定额规则计算</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315.20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19.09</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6017.17</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190</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带形基础 2*175  244米，木模板支护</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1.混凝土种类:C30</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2.混凝土强度等级:C30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58.18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1165.25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67794.25</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191</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带形基础 4*175，87米，木模板支护</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1.混凝土种类:C30</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2.混凝土强度等级:C30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30.78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1046.71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32217.73</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192</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带形基础 6*175，58米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1.混凝土种类:C30</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2.混凝土强度等级:C30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26.43</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1087.03</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28730.20</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193</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带形基础 8*175，5米，木模板支护</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1.混凝土种类:C30</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2.混凝土强度等级:C30</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2.23</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1079.90</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2408.18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194</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2*175管沟垫层，</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2.混凝土强度等级:C15</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23.18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714.05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16551.68</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195</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4*175管沟垫层，</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2.混凝土强度等级:C15</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8.27</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714.05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5905.19</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196</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6*175管沟垫层，</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2.混凝土强度等级:C15</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6.96</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714.05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4969.79</w:t>
            </w:r>
          </w:p>
        </w:tc>
      </w:tr>
      <w:tr>
        <w:tblPrEx>
          <w:tblCellMar>
            <w:top w:w="0" w:type="dxa"/>
            <w:left w:w="108" w:type="dxa"/>
            <w:bottom w:w="0" w:type="dxa"/>
            <w:right w:w="108" w:type="dxa"/>
          </w:tblCellMar>
        </w:tblPrEx>
        <w:trPr>
          <w:trHeight w:val="67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197</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8*175管沟垫层，</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2.混凝土强度等级:C15</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m3</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0.60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714.05</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428.43</w:t>
            </w:r>
          </w:p>
        </w:tc>
      </w:tr>
      <w:tr>
        <w:tblPrEx>
          <w:tblCellMar>
            <w:top w:w="0" w:type="dxa"/>
            <w:left w:w="108" w:type="dxa"/>
            <w:bottom w:w="0" w:type="dxa"/>
            <w:right w:w="108" w:type="dxa"/>
          </w:tblCellMar>
        </w:tblPrEx>
        <w:trPr>
          <w:trHeight w:val="900"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198</w:t>
            </w:r>
          </w:p>
        </w:tc>
        <w:tc>
          <w:tcPr>
            <w:tcW w:w="22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电缆直通井砌筑</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1.名称:电缆工井</w:t>
            </w:r>
            <w:r>
              <w:rPr>
                <w:rFonts w:hint="eastAsia" w:ascii="仿宋" w:hAnsi="仿宋" w:eastAsia="仿宋" w:cs="Arial"/>
                <w:kern w:val="0"/>
                <w:sz w:val="24"/>
                <w:szCs w:val="24"/>
              </w:rPr>
              <w:br w:type="textWrapping"/>
            </w:r>
            <w:r>
              <w:rPr>
                <w:rFonts w:hint="eastAsia" w:ascii="仿宋" w:hAnsi="仿宋" w:eastAsia="仿宋" w:cs="Arial"/>
                <w:kern w:val="0"/>
                <w:sz w:val="24"/>
                <w:szCs w:val="24"/>
              </w:rPr>
              <w:t>2.规格:3.6米*2.4米，内净深2米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3.类型:详图集</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个</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13.00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24557.31</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319245.03</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26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6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2202857.06</w:t>
            </w:r>
          </w:p>
        </w:tc>
      </w:tr>
      <w:tr>
        <w:tblPrEx>
          <w:tblCellMar>
            <w:top w:w="0" w:type="dxa"/>
            <w:left w:w="108" w:type="dxa"/>
            <w:bottom w:w="0" w:type="dxa"/>
            <w:right w:w="108" w:type="dxa"/>
          </w:tblCellMar>
        </w:tblPrEx>
        <w:trPr>
          <w:trHeight w:val="255" w:hRule="atLeast"/>
        </w:trPr>
        <w:tc>
          <w:tcPr>
            <w:tcW w:w="317"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2260"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363"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569"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633"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858"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r>
      <w:tr>
        <w:tblPrEx>
          <w:tblCellMar>
            <w:top w:w="0" w:type="dxa"/>
            <w:left w:w="108" w:type="dxa"/>
            <w:bottom w:w="0" w:type="dxa"/>
            <w:right w:w="108" w:type="dxa"/>
          </w:tblCellMar>
        </w:tblPrEx>
        <w:trPr>
          <w:trHeight w:val="255" w:hRule="atLeast"/>
        </w:trPr>
        <w:tc>
          <w:tcPr>
            <w:tcW w:w="5000" w:type="pct"/>
            <w:gridSpan w:val="6"/>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备注：上表中分部分项价格均为含税全费用综合单价，不再计取其他任何费用。</w:t>
            </w:r>
          </w:p>
        </w:tc>
      </w:tr>
    </w:tbl>
    <w:p>
      <w:pPr>
        <w:widowControl/>
        <w:jc w:val="left"/>
        <w:rPr>
          <w:rFonts w:ascii="仿宋" w:hAnsi="仿宋" w:eastAsia="仿宋" w:cs="宋体"/>
          <w:color w:val="000000"/>
          <w:sz w:val="24"/>
          <w:szCs w:val="24"/>
        </w:rPr>
      </w:pPr>
    </w:p>
    <w:p>
      <w:pPr>
        <w:widowControl/>
        <w:jc w:val="left"/>
        <w:rPr>
          <w:rFonts w:ascii="仿宋" w:hAnsi="仿宋" w:eastAsia="仿宋" w:cs="宋体"/>
          <w:color w:val="000000"/>
          <w:sz w:val="24"/>
          <w:szCs w:val="24"/>
        </w:rPr>
      </w:pPr>
      <w:r>
        <w:rPr>
          <w:rFonts w:ascii="仿宋" w:hAnsi="仿宋" w:eastAsia="仿宋" w:cs="宋体"/>
          <w:color w:val="000000"/>
          <w:sz w:val="24"/>
          <w:szCs w:val="24"/>
        </w:rPr>
        <w:br w:type="page"/>
      </w:r>
    </w:p>
    <w:p>
      <w:pPr>
        <w:widowControl/>
        <w:jc w:val="left"/>
        <w:rPr>
          <w:rFonts w:ascii="仿宋" w:hAnsi="仿宋" w:eastAsia="仿宋" w:cs="宋体"/>
          <w:color w:val="000000"/>
          <w:sz w:val="24"/>
          <w:szCs w:val="24"/>
        </w:rPr>
      </w:pPr>
      <w:r>
        <w:rPr>
          <w:rFonts w:ascii="仿宋" w:hAnsi="仿宋" w:eastAsia="仿宋"/>
          <w:b/>
          <w:sz w:val="28"/>
          <w:szCs w:val="28"/>
        </w:rPr>
        <w:t>配电室</w:t>
      </w:r>
      <w:r>
        <w:rPr>
          <w:rFonts w:hint="eastAsia" w:ascii="仿宋" w:hAnsi="仿宋" w:eastAsia="仿宋"/>
          <w:b/>
          <w:sz w:val="28"/>
          <w:szCs w:val="28"/>
        </w:rPr>
        <w:t>（外线）</w:t>
      </w:r>
      <w:r>
        <w:rPr>
          <w:rFonts w:ascii="仿宋" w:hAnsi="仿宋" w:eastAsia="仿宋"/>
          <w:b/>
          <w:sz w:val="28"/>
          <w:szCs w:val="28"/>
        </w:rPr>
        <w:t>劳务</w:t>
      </w:r>
      <w:r>
        <w:rPr>
          <w:rFonts w:hint="eastAsia" w:ascii="仿宋" w:hAnsi="仿宋" w:eastAsia="仿宋"/>
          <w:b/>
          <w:sz w:val="28"/>
          <w:szCs w:val="28"/>
        </w:rPr>
        <w:t>控制价清单：</w:t>
      </w:r>
    </w:p>
    <w:tbl>
      <w:tblPr>
        <w:tblStyle w:val="27"/>
        <w:tblW w:w="5000" w:type="pct"/>
        <w:tblInd w:w="0" w:type="dxa"/>
        <w:tblLayout w:type="autofit"/>
        <w:tblCellMar>
          <w:top w:w="0" w:type="dxa"/>
          <w:left w:w="108" w:type="dxa"/>
          <w:bottom w:w="0" w:type="dxa"/>
          <w:right w:w="108" w:type="dxa"/>
        </w:tblCellMar>
      </w:tblPr>
      <w:tblGrid>
        <w:gridCol w:w="516"/>
        <w:gridCol w:w="3883"/>
        <w:gridCol w:w="917"/>
        <w:gridCol w:w="1187"/>
        <w:gridCol w:w="1322"/>
        <w:gridCol w:w="1461"/>
      </w:tblGrid>
      <w:tr>
        <w:tblPrEx>
          <w:tblCellMar>
            <w:top w:w="0" w:type="dxa"/>
            <w:left w:w="108" w:type="dxa"/>
            <w:bottom w:w="0" w:type="dxa"/>
            <w:right w:w="108" w:type="dxa"/>
          </w:tblCellMar>
        </w:tblPrEx>
        <w:trPr>
          <w:trHeight w:val="255" w:hRule="atLeast"/>
        </w:trPr>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0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项目名称</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项目特征</w:t>
            </w:r>
          </w:p>
        </w:tc>
        <w:tc>
          <w:tcPr>
            <w:tcW w:w="4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计量</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单位</w:t>
            </w:r>
          </w:p>
        </w:tc>
        <w:tc>
          <w:tcPr>
            <w:tcW w:w="6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工程量</w:t>
            </w:r>
          </w:p>
        </w:tc>
        <w:tc>
          <w:tcPr>
            <w:tcW w:w="14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金额（元）</w:t>
            </w:r>
          </w:p>
        </w:tc>
      </w:tr>
      <w:tr>
        <w:tblPrEx>
          <w:tblCellMar>
            <w:top w:w="0" w:type="dxa"/>
            <w:left w:w="108" w:type="dxa"/>
            <w:bottom w:w="0" w:type="dxa"/>
            <w:right w:w="108" w:type="dxa"/>
          </w:tblCellMar>
        </w:tblPrEx>
        <w:trPr>
          <w:trHeight w:val="255" w:hRule="atLeast"/>
        </w:trPr>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20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控制单价</w:t>
            </w:r>
          </w:p>
        </w:tc>
        <w:tc>
          <w:tcPr>
            <w:tcW w:w="78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合价</w:t>
            </w:r>
          </w:p>
        </w:tc>
      </w:tr>
      <w:tr>
        <w:tblPrEx>
          <w:tblCellMar>
            <w:top w:w="0" w:type="dxa"/>
            <w:left w:w="108" w:type="dxa"/>
            <w:bottom w:w="0" w:type="dxa"/>
            <w:right w:w="108"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电力外线施工安装</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3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p>
        </w:tc>
      </w:tr>
      <w:tr>
        <w:tblPrEx>
          <w:tblCellMar>
            <w:top w:w="0" w:type="dxa"/>
            <w:left w:w="108" w:type="dxa"/>
            <w:bottom w:w="0" w:type="dxa"/>
            <w:right w:w="108"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高压环网柜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1.名称:室外高压环网柜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2.型号:6J</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6.基础型钢形式、规格:槽钢预埋，水泥浇筑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1735.28</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1735.28</w:t>
            </w:r>
          </w:p>
        </w:tc>
      </w:tr>
      <w:tr>
        <w:tblPrEx>
          <w:tblCellMar>
            <w:top w:w="0" w:type="dxa"/>
            <w:left w:w="108" w:type="dxa"/>
            <w:bottom w:w="0" w:type="dxa"/>
            <w:right w:w="108"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2.型号:ZC-YJV22-8.7/15kV-3*400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5.敷设方式、部位:管廊、穿管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7.地形:按图纸综合考虑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1200.00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68.57</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82284.00</w:t>
            </w:r>
          </w:p>
        </w:tc>
      </w:tr>
      <w:tr>
        <w:tblPrEx>
          <w:tblCellMar>
            <w:top w:w="0" w:type="dxa"/>
            <w:left w:w="108" w:type="dxa"/>
            <w:bottom w:w="0" w:type="dxa"/>
            <w:right w:w="108"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2.型号:ZBN-YJV22-8.7/15kV-3X120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5.敷设方式、部位:管廊、穿管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7.地形:按图纸综合考虑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357.00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28.56</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10195.92</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1.名称:高压电缆终端ZBN-YJV22-8.7/15kV-3X120           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5.安装部位:室外环网柜/变电站</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1507.00</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6028.00</w:t>
            </w:r>
          </w:p>
        </w:tc>
      </w:tr>
      <w:tr>
        <w:tblPrEx>
          <w:tblCellMar>
            <w:top w:w="0" w:type="dxa"/>
            <w:left w:w="108" w:type="dxa"/>
            <w:bottom w:w="0" w:type="dxa"/>
            <w:right w:w="108"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1.名称:高压电缆终端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2.型号:ZRYJV22-8.7/15KV 3X400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3.规格:3X400</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5.安装部位:室外环网柜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6.电压等级(kV):10电力电缆</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3094.06</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6188.12</w:t>
            </w:r>
          </w:p>
        </w:tc>
      </w:tr>
      <w:tr>
        <w:tblPrEx>
          <w:tblCellMar>
            <w:top w:w="0" w:type="dxa"/>
            <w:left w:w="108" w:type="dxa"/>
            <w:bottom w:w="0" w:type="dxa"/>
            <w:right w:w="108"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高压电缆中间接头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1.名称:高压电缆中间接头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2.型号:ZRYJV22-8.7/15KV 3X400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5.安装部位:地下管廊</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6.电压等级(kV):10电力电缆</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4626.53</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9253.06</w:t>
            </w:r>
          </w:p>
        </w:tc>
      </w:tr>
      <w:tr>
        <w:tblPrEx>
          <w:tblCellMar>
            <w:top w:w="0" w:type="dxa"/>
            <w:left w:w="108" w:type="dxa"/>
            <w:bottom w:w="0" w:type="dxa"/>
            <w:right w:w="108"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3.方式:桥架穿墙位置封堵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处</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685.36</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1370.72</w:t>
            </w:r>
          </w:p>
        </w:tc>
      </w:tr>
      <w:tr>
        <w:tblPrEx>
          <w:tblCellMar>
            <w:top w:w="0" w:type="dxa"/>
            <w:left w:w="108" w:type="dxa"/>
            <w:bottom w:w="0" w:type="dxa"/>
            <w:right w:w="108"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27.00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209.74</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5662.98</w:t>
            </w:r>
          </w:p>
        </w:tc>
      </w:tr>
      <w:tr>
        <w:tblPrEx>
          <w:tblCellMar>
            <w:top w:w="0" w:type="dxa"/>
            <w:left w:w="108" w:type="dxa"/>
            <w:bottom w:w="0" w:type="dxa"/>
            <w:right w:w="108"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1.名称:桥架支撑架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540.00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17.39</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9390.60</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接地装置</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1.名称:接地装置试验</w:t>
            </w:r>
            <w:r>
              <w:rPr>
                <w:rFonts w:hint="eastAsia" w:ascii="仿宋" w:hAnsi="仿宋" w:eastAsia="仿宋" w:cs="Arial"/>
                <w:kern w:val="0"/>
                <w:sz w:val="24"/>
                <w:szCs w:val="24"/>
              </w:rPr>
              <w:br w:type="textWrapping"/>
            </w:r>
            <w:r>
              <w:rPr>
                <w:rFonts w:hint="eastAsia" w:ascii="仿宋" w:hAnsi="仿宋" w:eastAsia="仿宋" w:cs="Arial"/>
                <w:kern w:val="0"/>
                <w:sz w:val="24"/>
                <w:szCs w:val="24"/>
              </w:rPr>
              <w:t>2.类别:</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系统/组</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1452.99</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2905.98</w:t>
            </w:r>
          </w:p>
        </w:tc>
      </w:tr>
      <w:tr>
        <w:tblPrEx>
          <w:tblCellMar>
            <w:top w:w="0" w:type="dxa"/>
            <w:left w:w="108" w:type="dxa"/>
            <w:bottom w:w="0" w:type="dxa"/>
            <w:right w:w="108"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防火堵洞</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3.方式:环网柜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处</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55.27</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773.78</w:t>
            </w:r>
          </w:p>
        </w:tc>
      </w:tr>
      <w:tr>
        <w:tblPrEx>
          <w:tblCellMar>
            <w:top w:w="0" w:type="dxa"/>
            <w:left w:w="108" w:type="dxa"/>
            <w:bottom w:w="0" w:type="dxa"/>
            <w:right w:w="108"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地下车库入地下室电缆管防水封堵</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4.部位:地下室外墙</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处</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557.44</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2229.76</w:t>
            </w:r>
          </w:p>
        </w:tc>
      </w:tr>
      <w:tr>
        <w:tblPrEx>
          <w:tblCellMar>
            <w:top w:w="0" w:type="dxa"/>
            <w:left w:w="108" w:type="dxa"/>
            <w:bottom w:w="0" w:type="dxa"/>
            <w:right w:w="108"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2191.77</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4383.54</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电缆试验</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2.电压等级(kV):10KV</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次(根、点)</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1386.85</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8321.10</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2.电压等级(kV):10KV</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组</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314.27</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628.54</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电缆保护管4+2孔，含管枕支架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3.规格:200*4+100*2</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4.敷设方式:电缆沟敷设，间隔一米管枕支架</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245.00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610.94</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149680.30</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电缆保护管12+2孔，含管枕支架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3.规格:MPP200*12+MPP100*2</w:t>
            </w:r>
            <w:r>
              <w:rPr>
                <w:rFonts w:hint="eastAsia" w:ascii="仿宋" w:hAnsi="仿宋" w:eastAsia="仿宋" w:cs="Arial"/>
                <w:kern w:val="0"/>
                <w:sz w:val="24"/>
                <w:szCs w:val="24"/>
              </w:rPr>
              <w:br w:type="textWrapping"/>
            </w:r>
            <w:r>
              <w:rPr>
                <w:rFonts w:hint="eastAsia" w:ascii="仿宋" w:hAnsi="仿宋" w:eastAsia="仿宋" w:cs="Arial"/>
                <w:kern w:val="0"/>
                <w:sz w:val="24"/>
                <w:szCs w:val="24"/>
              </w:rPr>
              <w:t>4.敷设方式:电缆沟敷设，间隔一米管枕支架</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1493.52</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14935.20</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1.名称:管沟、电井内接地母线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2.材质:镀锌扁铁</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3.规格:50*5</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4.安装部位:管沟、电井内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5.安装形式:明敷焊接</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638.00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38.57</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24607.66</w:t>
            </w:r>
          </w:p>
        </w:tc>
      </w:tr>
      <w:tr>
        <w:tblPrEx>
          <w:tblCellMar>
            <w:top w:w="0" w:type="dxa"/>
            <w:left w:w="108" w:type="dxa"/>
            <w:bottom w:w="0" w:type="dxa"/>
            <w:right w:w="108"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电力环网柜底座及检查井</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3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环网柜底座，混凝土检查井、集水坑，长6.5米，宽2.8米，深2.6米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1.含所有垫层、井壁、井盖等混凝土浇筑、砖砌、井篦、铁件等内容</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2.混凝土强度等级:C25 </w:t>
            </w:r>
            <w:r>
              <w:rPr>
                <w:rFonts w:hint="eastAsia" w:ascii="仿宋" w:hAnsi="仿宋" w:eastAsia="仿宋" w:cs="Arial"/>
                <w:kern w:val="0"/>
                <w:sz w:val="24"/>
                <w:szCs w:val="24"/>
              </w:rPr>
              <w:br w:type="textWrapping"/>
            </w:r>
            <w:r>
              <w:rPr>
                <w:rFonts w:hint="eastAsia" w:ascii="仿宋" w:hAnsi="仿宋" w:eastAsia="仿宋" w:cs="Arial"/>
                <w:kern w:val="0"/>
                <w:sz w:val="24"/>
                <w:szCs w:val="24"/>
              </w:rPr>
              <w:t>3.防水、抗渗要求:P6</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座</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25127.31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25127.31</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地下车库入户井，混凝土检查井、集水坑，长3.6米，宽2.4米，深2.6米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1.含所有垫层、井壁、井盖等混凝土浇筑、砖砌、井篦、铁件等内容</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2.混凝土强度等级:C25 </w:t>
            </w:r>
            <w:r>
              <w:rPr>
                <w:rFonts w:hint="eastAsia" w:ascii="仿宋" w:hAnsi="仿宋" w:eastAsia="仿宋" w:cs="Arial"/>
                <w:kern w:val="0"/>
                <w:sz w:val="24"/>
                <w:szCs w:val="24"/>
              </w:rPr>
              <w:br w:type="textWrapping"/>
            </w:r>
            <w:r>
              <w:rPr>
                <w:rFonts w:hint="eastAsia" w:ascii="仿宋" w:hAnsi="仿宋" w:eastAsia="仿宋" w:cs="Arial"/>
                <w:kern w:val="0"/>
                <w:sz w:val="24"/>
                <w:szCs w:val="24"/>
              </w:rPr>
              <w:t>3.防水、抗渗要求:P6</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座</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21805.61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21805.61</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三通混凝土检查井、集水坑，长3.6米，宽2.4米，深2.6米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1.含所有垫层、井壁、井盖等混凝土浇筑、砖砌、井篦、铁件等内容</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2.混凝土强度等级:C25 </w:t>
            </w:r>
            <w:r>
              <w:rPr>
                <w:rFonts w:hint="eastAsia" w:ascii="仿宋" w:hAnsi="仿宋" w:eastAsia="仿宋" w:cs="Arial"/>
                <w:kern w:val="0"/>
                <w:sz w:val="24"/>
                <w:szCs w:val="24"/>
              </w:rPr>
              <w:br w:type="textWrapping"/>
            </w:r>
            <w:r>
              <w:rPr>
                <w:rFonts w:hint="eastAsia" w:ascii="仿宋" w:hAnsi="仿宋" w:eastAsia="仿宋" w:cs="Arial"/>
                <w:kern w:val="0"/>
                <w:sz w:val="24"/>
                <w:szCs w:val="24"/>
              </w:rPr>
              <w:t>3.防水、抗渗要求:P6</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座</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21805.61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21805.61</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检查井、集水坑，长3.6米，宽2.4米，深2.6米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1.含所有垫层、井壁、井盖等混凝土浇筑、砖砌、井篦、铁件等内容</w:t>
            </w:r>
            <w:r>
              <w:rPr>
                <w:rFonts w:hint="eastAsia" w:ascii="仿宋" w:hAnsi="仿宋" w:eastAsia="仿宋" w:cs="Arial"/>
                <w:kern w:val="0"/>
                <w:sz w:val="24"/>
                <w:szCs w:val="24"/>
              </w:rPr>
              <w:br w:type="textWrapping"/>
            </w:r>
            <w:r>
              <w:rPr>
                <w:rFonts w:hint="eastAsia" w:ascii="仿宋" w:hAnsi="仿宋" w:eastAsia="仿宋" w:cs="Arial"/>
                <w:kern w:val="0"/>
                <w:sz w:val="24"/>
                <w:szCs w:val="24"/>
              </w:rPr>
              <w:t xml:space="preserve">2.混凝土强度等级:C25 </w:t>
            </w:r>
            <w:r>
              <w:rPr>
                <w:rFonts w:hint="eastAsia" w:ascii="仿宋" w:hAnsi="仿宋" w:eastAsia="仿宋" w:cs="Arial"/>
                <w:kern w:val="0"/>
                <w:sz w:val="24"/>
                <w:szCs w:val="24"/>
              </w:rPr>
              <w:br w:type="textWrapping"/>
            </w:r>
            <w:r>
              <w:rPr>
                <w:rFonts w:hint="eastAsia" w:ascii="仿宋" w:hAnsi="仿宋" w:eastAsia="仿宋" w:cs="Arial"/>
                <w:kern w:val="0"/>
                <w:sz w:val="24"/>
                <w:szCs w:val="24"/>
              </w:rPr>
              <w:t>3.防水、抗渗要求:P6</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座</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14831.41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74157.05</w:t>
            </w:r>
          </w:p>
        </w:tc>
      </w:tr>
      <w:tr>
        <w:tblPrEx>
          <w:tblCellMar>
            <w:top w:w="0" w:type="dxa"/>
            <w:left w:w="108" w:type="dxa"/>
            <w:bottom w:w="0" w:type="dxa"/>
            <w:right w:w="108"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平整场地</w:t>
            </w:r>
            <w:r>
              <w:rPr>
                <w:rFonts w:hint="eastAsia" w:ascii="仿宋" w:hAnsi="仿宋" w:eastAsia="仿宋" w:cs="Arial"/>
                <w:kern w:val="0"/>
                <w:sz w:val="24"/>
                <w:szCs w:val="24"/>
              </w:rPr>
              <w:br w:type="textWrapping"/>
            </w:r>
            <w:r>
              <w:rPr>
                <w:rFonts w:hint="eastAsia" w:ascii="仿宋" w:hAnsi="仿宋" w:eastAsia="仿宋" w:cs="Arial"/>
                <w:kern w:val="0"/>
                <w:sz w:val="24"/>
                <w:szCs w:val="24"/>
              </w:rPr>
              <w:t>1.土壤类别:综合考虑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2.弃土运距:综合考虑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3.取土运距:综合考虑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m2</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231.31</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1.48</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342.34</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挖基坑土方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1.土壤类别:普通土</w:t>
            </w:r>
            <w:r>
              <w:rPr>
                <w:rFonts w:hint="eastAsia" w:ascii="仿宋" w:hAnsi="仿宋" w:eastAsia="仿宋" w:cs="Arial"/>
                <w:kern w:val="0"/>
                <w:sz w:val="24"/>
                <w:szCs w:val="24"/>
              </w:rPr>
              <w:br w:type="textWrapping"/>
            </w:r>
            <w:r>
              <w:rPr>
                <w:rFonts w:hint="eastAsia" w:ascii="仿宋" w:hAnsi="仿宋" w:eastAsia="仿宋" w:cs="Arial"/>
                <w:kern w:val="0"/>
                <w:sz w:val="24"/>
                <w:szCs w:val="24"/>
              </w:rPr>
              <w:t>2.挖土深度:综合考虑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3.弃土运距:综合考虑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4.工程量计算规则:按2016年山东省建筑工程消耗量定额规则计算。</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231.84</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41.41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9600.49</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回填</w:t>
            </w:r>
            <w:r>
              <w:rPr>
                <w:rFonts w:hint="eastAsia" w:ascii="仿宋" w:hAnsi="仿宋" w:eastAsia="仿宋" w:cs="Arial"/>
                <w:kern w:val="0"/>
                <w:sz w:val="24"/>
                <w:szCs w:val="24"/>
              </w:rPr>
              <w:br w:type="textWrapping"/>
            </w:r>
            <w:r>
              <w:rPr>
                <w:rFonts w:hint="eastAsia" w:ascii="仿宋" w:hAnsi="仿宋" w:eastAsia="仿宋" w:cs="Arial"/>
                <w:kern w:val="0"/>
                <w:sz w:val="24"/>
                <w:szCs w:val="24"/>
              </w:rPr>
              <w:t>1.原土回填，包含土方回填、压实等全部费用</w:t>
            </w:r>
            <w:r>
              <w:rPr>
                <w:rFonts w:hint="eastAsia" w:ascii="仿宋" w:hAnsi="仿宋" w:eastAsia="仿宋" w:cs="Arial"/>
                <w:kern w:val="0"/>
                <w:sz w:val="24"/>
                <w:szCs w:val="24"/>
              </w:rPr>
              <w:br w:type="textWrapping"/>
            </w:r>
            <w:r>
              <w:rPr>
                <w:rFonts w:hint="eastAsia" w:ascii="仿宋" w:hAnsi="仿宋" w:eastAsia="仿宋" w:cs="Arial"/>
                <w:kern w:val="0"/>
                <w:sz w:val="24"/>
                <w:szCs w:val="24"/>
              </w:rPr>
              <w:t>2.回填土要求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3.工程量计算规则:按2016年山东省建筑工程消耗量定额规则计算</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145.86</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20.86</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3042.64</w:t>
            </w:r>
          </w:p>
        </w:tc>
      </w:tr>
      <w:tr>
        <w:tblPrEx>
          <w:tblCellMar>
            <w:top w:w="0" w:type="dxa"/>
            <w:left w:w="108" w:type="dxa"/>
            <w:bottom w:w="0" w:type="dxa"/>
            <w:right w:w="108"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电缆管沟开挖，包封及回填</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3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r>
      <w:tr>
        <w:tblPrEx>
          <w:tblCellMar>
            <w:top w:w="0" w:type="dxa"/>
            <w:left w:w="108" w:type="dxa"/>
            <w:bottom w:w="0" w:type="dxa"/>
            <w:right w:w="108"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挖沟槽土方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1.土壤类别:综合考虑</w:t>
            </w:r>
            <w:r>
              <w:rPr>
                <w:rFonts w:hint="eastAsia" w:ascii="仿宋" w:hAnsi="仿宋" w:eastAsia="仿宋" w:cs="Arial"/>
                <w:kern w:val="0"/>
                <w:sz w:val="24"/>
                <w:szCs w:val="24"/>
              </w:rPr>
              <w:br w:type="textWrapping"/>
            </w:r>
            <w:r>
              <w:rPr>
                <w:rFonts w:hint="eastAsia" w:ascii="仿宋" w:hAnsi="仿宋" w:eastAsia="仿宋" w:cs="Arial"/>
                <w:kern w:val="0"/>
                <w:sz w:val="24"/>
                <w:szCs w:val="24"/>
              </w:rPr>
              <w:t>2.挖土深度:2m以内</w:t>
            </w:r>
            <w:r>
              <w:rPr>
                <w:rFonts w:hint="eastAsia" w:ascii="仿宋" w:hAnsi="仿宋" w:eastAsia="仿宋" w:cs="Arial"/>
                <w:kern w:val="0"/>
                <w:sz w:val="24"/>
                <w:szCs w:val="24"/>
              </w:rPr>
              <w:br w:type="textWrapping"/>
            </w:r>
            <w:r>
              <w:rPr>
                <w:rFonts w:hint="eastAsia" w:ascii="仿宋" w:hAnsi="仿宋" w:eastAsia="仿宋" w:cs="Arial"/>
                <w:kern w:val="0"/>
                <w:sz w:val="24"/>
                <w:szCs w:val="24"/>
              </w:rPr>
              <w:t>3.开挖方式:机械、人工综合考虑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567.36</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34.84</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19766.82</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挖沟槽石方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1.岩石类别:松石或坚石</w:t>
            </w:r>
            <w:r>
              <w:rPr>
                <w:rFonts w:hint="eastAsia" w:ascii="仿宋" w:hAnsi="仿宋" w:eastAsia="仿宋" w:cs="Arial"/>
                <w:kern w:val="0"/>
                <w:sz w:val="24"/>
                <w:szCs w:val="24"/>
              </w:rPr>
              <w:br w:type="textWrapping"/>
            </w:r>
            <w:r>
              <w:rPr>
                <w:rFonts w:hint="eastAsia" w:ascii="仿宋" w:hAnsi="仿宋" w:eastAsia="仿宋" w:cs="Arial"/>
                <w:kern w:val="0"/>
                <w:sz w:val="24"/>
                <w:szCs w:val="24"/>
              </w:rPr>
              <w:t>2.开凿深度:综合考虑</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30.00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68.71</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2061.30</w:t>
            </w:r>
          </w:p>
        </w:tc>
      </w:tr>
      <w:tr>
        <w:tblPrEx>
          <w:tblCellMar>
            <w:top w:w="0" w:type="dxa"/>
            <w:left w:w="108" w:type="dxa"/>
            <w:bottom w:w="0" w:type="dxa"/>
            <w:right w:w="108"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回填方</w:t>
            </w:r>
            <w:r>
              <w:rPr>
                <w:rFonts w:hint="eastAsia" w:ascii="仿宋" w:hAnsi="仿宋" w:eastAsia="仿宋" w:cs="Arial"/>
                <w:kern w:val="0"/>
                <w:sz w:val="24"/>
                <w:szCs w:val="24"/>
              </w:rPr>
              <w:br w:type="textWrapping"/>
            </w:r>
            <w:r>
              <w:rPr>
                <w:rFonts w:hint="eastAsia" w:ascii="仿宋" w:hAnsi="仿宋" w:eastAsia="仿宋" w:cs="Arial"/>
                <w:kern w:val="0"/>
                <w:sz w:val="24"/>
                <w:szCs w:val="24"/>
              </w:rPr>
              <w:t>1.原土回填，包含土方回填、压实等全部费用</w:t>
            </w:r>
            <w:r>
              <w:rPr>
                <w:rFonts w:hint="eastAsia" w:ascii="仿宋" w:hAnsi="仿宋" w:eastAsia="仿宋" w:cs="Arial"/>
                <w:kern w:val="0"/>
                <w:sz w:val="24"/>
                <w:szCs w:val="24"/>
              </w:rPr>
              <w:br w:type="textWrapping"/>
            </w:r>
            <w:r>
              <w:rPr>
                <w:rFonts w:hint="eastAsia" w:ascii="仿宋" w:hAnsi="仿宋" w:eastAsia="仿宋" w:cs="Arial"/>
                <w:kern w:val="0"/>
                <w:sz w:val="24"/>
                <w:szCs w:val="24"/>
              </w:rPr>
              <w:t>2.回填土要求等详见设计</w:t>
            </w:r>
            <w:r>
              <w:rPr>
                <w:rFonts w:hint="eastAsia" w:ascii="仿宋" w:hAnsi="仿宋" w:eastAsia="仿宋" w:cs="Arial"/>
                <w:kern w:val="0"/>
                <w:sz w:val="24"/>
                <w:szCs w:val="24"/>
              </w:rPr>
              <w:br w:type="textWrapping"/>
            </w:r>
            <w:r>
              <w:rPr>
                <w:rFonts w:hint="eastAsia" w:ascii="仿宋" w:hAnsi="仿宋" w:eastAsia="仿宋" w:cs="Arial"/>
                <w:kern w:val="0"/>
                <w:sz w:val="24"/>
                <w:szCs w:val="24"/>
              </w:rPr>
              <w:t>3.工程量计算规则:按2016年山东省建筑工程消耗量定额规则计算</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138.00</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20.32</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2804.16</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带形基础</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1.混凝土种类:C20</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2.混凝土强度等级:C20</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148.32</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917.80</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136128.10</w:t>
            </w:r>
          </w:p>
        </w:tc>
      </w:tr>
      <w:tr>
        <w:tblPrEx>
          <w:tblCellMar>
            <w:top w:w="0" w:type="dxa"/>
            <w:left w:w="108" w:type="dxa"/>
            <w:bottom w:w="0" w:type="dxa"/>
            <w:right w:w="108"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w:t>
            </w:r>
          </w:p>
        </w:tc>
        <w:tc>
          <w:tcPr>
            <w:tcW w:w="209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垫层</w:t>
            </w:r>
            <w:r>
              <w:rPr>
                <w:rFonts w:hint="eastAsia" w:ascii="仿宋" w:hAnsi="仿宋" w:eastAsia="仿宋" w:cs="Arial"/>
                <w:kern w:val="0"/>
                <w:sz w:val="24"/>
                <w:szCs w:val="24"/>
              </w:rPr>
              <w:br w:type="textWrapping"/>
            </w:r>
            <w:r>
              <w:rPr>
                <w:rFonts w:hint="eastAsia" w:ascii="仿宋" w:hAnsi="仿宋" w:eastAsia="仿宋" w:cs="Arial"/>
                <w:kern w:val="0"/>
                <w:sz w:val="24"/>
                <w:szCs w:val="24"/>
              </w:rPr>
              <w:t>1.混凝土种类: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2.混凝土强度等级:C15</w:t>
            </w:r>
          </w:p>
        </w:tc>
        <w:tc>
          <w:tcPr>
            <w:tcW w:w="4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30.18</w:t>
            </w:r>
          </w:p>
        </w:tc>
        <w:tc>
          <w:tcPr>
            <w:tcW w:w="71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618.60</w:t>
            </w:r>
          </w:p>
        </w:tc>
        <w:tc>
          <w:tcPr>
            <w:tcW w:w="78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18669.35</w:t>
            </w:r>
          </w:p>
        </w:tc>
      </w:tr>
      <w:tr>
        <w:tblPrEx>
          <w:tblCellMar>
            <w:top w:w="0" w:type="dxa"/>
            <w:left w:w="108" w:type="dxa"/>
            <w:bottom w:w="0" w:type="dxa"/>
            <w:right w:w="108"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0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6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71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78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675885.32</w:t>
            </w:r>
          </w:p>
        </w:tc>
      </w:tr>
      <w:tr>
        <w:tblPrEx>
          <w:tblCellMar>
            <w:top w:w="0" w:type="dxa"/>
            <w:left w:w="108" w:type="dxa"/>
            <w:bottom w:w="0" w:type="dxa"/>
            <w:right w:w="108" w:type="dxa"/>
          </w:tblCellMar>
        </w:tblPrEx>
        <w:trPr>
          <w:trHeight w:val="255" w:hRule="atLeast"/>
        </w:trPr>
        <w:tc>
          <w:tcPr>
            <w:tcW w:w="5000" w:type="pct"/>
            <w:gridSpan w:val="6"/>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备注：上表中分部分项价格均为含税全费用综合单价，不再计取其他任何费用。</w:t>
            </w:r>
          </w:p>
        </w:tc>
      </w:tr>
    </w:tbl>
    <w:p>
      <w:pPr>
        <w:autoSpaceDE w:val="0"/>
        <w:autoSpaceDN w:val="0"/>
        <w:adjustRightInd w:val="0"/>
        <w:spacing w:line="360" w:lineRule="auto"/>
        <w:ind w:firstLine="480"/>
        <w:jc w:val="center"/>
        <w:rPr>
          <w:rFonts w:ascii="宋体" w:hAnsi="宋体" w:cs="仿宋"/>
          <w:color w:val="000000"/>
          <w:szCs w:val="21"/>
          <w:lang w:val="zh-CN"/>
        </w:rPr>
        <w:sectPr>
          <w:footerReference r:id="rId3"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80" w:lineRule="auto"/>
        <w:ind w:right="-481"/>
        <w:rPr>
          <w:rStyle w:val="50"/>
          <w:rFonts w:cs="仿宋"/>
          <w:sz w:val="24"/>
          <w:szCs w:val="24"/>
        </w:rPr>
      </w:pPr>
      <w:bookmarkStart w:id="12" w:name="_Toc144974860"/>
      <w:bookmarkStart w:id="13" w:name="_Toc247514283"/>
      <w:bookmarkStart w:id="14" w:name="_Toc152045791"/>
      <w:bookmarkStart w:id="15" w:name="_Toc247527831"/>
      <w:bookmarkStart w:id="16" w:name="_Toc152042580"/>
      <w:bookmarkStart w:id="17" w:name="_Toc300835213"/>
      <w:r>
        <w:rPr>
          <w:rStyle w:val="50"/>
          <w:rFonts w:hint="eastAsia" w:cs="仿宋"/>
          <w:sz w:val="24"/>
          <w:szCs w:val="24"/>
        </w:rPr>
        <w:t>附件</w:t>
      </w:r>
    </w:p>
    <w:p>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bookmarkEnd w:id="12"/>
      <w:bookmarkEnd w:id="13"/>
      <w:bookmarkEnd w:id="14"/>
      <w:bookmarkEnd w:id="15"/>
      <w:bookmarkEnd w:id="16"/>
      <w:bookmarkEnd w:id="17"/>
    </w:p>
    <w:p>
      <w:pPr>
        <w:spacing w:line="440" w:lineRule="exact"/>
        <w:rPr>
          <w:rFonts w:ascii="仿宋" w:hAnsi="仿宋" w:eastAsia="仿宋" w:cs="仿宋"/>
          <w:sz w:val="20"/>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投标人名称：</w:t>
      </w:r>
    </w:p>
    <w:p>
      <w:pPr>
        <w:spacing w:line="440" w:lineRule="exact"/>
        <w:rPr>
          <w:rFonts w:ascii="仿宋" w:hAnsi="仿宋" w:eastAsia="仿宋" w:cs="仿宋"/>
          <w:sz w:val="24"/>
          <w:szCs w:val="24"/>
        </w:rPr>
      </w:pPr>
      <w:r>
        <w:rPr>
          <w:rFonts w:hint="eastAsia" w:ascii="仿宋" w:hAnsi="仿宋" w:eastAsia="仿宋" w:cs="仿宋"/>
          <w:sz w:val="24"/>
          <w:szCs w:val="24"/>
        </w:rPr>
        <w:t>单位性质：</w:t>
      </w:r>
    </w:p>
    <w:p>
      <w:pPr>
        <w:spacing w:line="440" w:lineRule="exact"/>
        <w:rPr>
          <w:rFonts w:ascii="仿宋" w:hAnsi="仿宋" w:eastAsia="仿宋" w:cs="仿宋"/>
          <w:sz w:val="24"/>
          <w:szCs w:val="24"/>
        </w:rPr>
      </w:pPr>
      <w:r>
        <w:rPr>
          <w:rFonts w:hint="eastAsia" w:ascii="仿宋" w:hAnsi="仿宋" w:eastAsia="仿宋" w:cs="仿宋"/>
          <w:sz w:val="24"/>
          <w:szCs w:val="24"/>
        </w:rPr>
        <w:t>地址：</w:t>
      </w:r>
    </w:p>
    <w:p>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pPr>
        <w:spacing w:line="440" w:lineRule="exact"/>
        <w:rPr>
          <w:rFonts w:ascii="仿宋" w:hAnsi="仿宋" w:eastAsia="仿宋" w:cs="仿宋"/>
          <w:sz w:val="24"/>
          <w:szCs w:val="24"/>
        </w:rPr>
      </w:pPr>
      <w:r>
        <w:rPr>
          <w:rFonts w:hint="eastAsia" w:ascii="仿宋" w:hAnsi="仿宋" w:eastAsia="仿宋" w:cs="仿宋"/>
          <w:sz w:val="24"/>
          <w:szCs w:val="24"/>
        </w:rPr>
        <w:t>经营期限：</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r>
        <w:rPr>
          <w:rStyle w:val="50"/>
          <w:rFonts w:hint="eastAsia" w:cs="仿宋"/>
          <w:sz w:val="24"/>
          <w:szCs w:val="24"/>
        </w:rPr>
        <w:t>附件</w:t>
      </w:r>
    </w:p>
    <w:p>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本授权委托书于年月日起签字生效,特此声明。</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pPr>
        <w:widowControl/>
        <w:autoSpaceDE w:val="0"/>
        <w:autoSpaceDN w:val="0"/>
        <w:adjustRightInd w:val="0"/>
        <w:ind w:right="-481" w:firstLine="5400"/>
        <w:rPr>
          <w:rStyle w:val="50"/>
          <w:rFonts w:cs="仿宋"/>
          <w:sz w:val="24"/>
          <w:szCs w:val="24"/>
        </w:rPr>
      </w:pPr>
    </w:p>
    <w:p>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pPr>
        <w:widowControl/>
        <w:autoSpaceDE w:val="0"/>
        <w:autoSpaceDN w:val="0"/>
        <w:adjustRightInd w:val="0"/>
        <w:spacing w:line="480" w:lineRule="auto"/>
        <w:ind w:right="-481"/>
        <w:rPr>
          <w:rFonts w:ascii="仿宋" w:hAnsi="仿宋" w:eastAsia="仿宋" w:cs="仿宋"/>
          <w:color w:val="000000"/>
          <w:szCs w:val="21"/>
        </w:rPr>
      </w:pPr>
      <w:bookmarkStart w:id="18" w:name="_GoBack"/>
      <w:bookmarkEnd w:id="18"/>
    </w:p>
    <w:sectPr>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65</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66</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2A068C"/>
    <w:rsid w:val="00016585"/>
    <w:rsid w:val="00022F25"/>
    <w:rsid w:val="000272D3"/>
    <w:rsid w:val="000367E1"/>
    <w:rsid w:val="00036A1C"/>
    <w:rsid w:val="00042F12"/>
    <w:rsid w:val="00043B5D"/>
    <w:rsid w:val="000447B7"/>
    <w:rsid w:val="0004725B"/>
    <w:rsid w:val="000526A9"/>
    <w:rsid w:val="00053DEA"/>
    <w:rsid w:val="000545F4"/>
    <w:rsid w:val="00054E4D"/>
    <w:rsid w:val="000552F1"/>
    <w:rsid w:val="000627FC"/>
    <w:rsid w:val="00072639"/>
    <w:rsid w:val="00075401"/>
    <w:rsid w:val="000770B1"/>
    <w:rsid w:val="00081413"/>
    <w:rsid w:val="000838DA"/>
    <w:rsid w:val="00085909"/>
    <w:rsid w:val="0008678E"/>
    <w:rsid w:val="00090FB0"/>
    <w:rsid w:val="0009478B"/>
    <w:rsid w:val="0009523B"/>
    <w:rsid w:val="00095E5A"/>
    <w:rsid w:val="000968D0"/>
    <w:rsid w:val="00097584"/>
    <w:rsid w:val="000A5498"/>
    <w:rsid w:val="000A5DA9"/>
    <w:rsid w:val="000A6840"/>
    <w:rsid w:val="000B6D30"/>
    <w:rsid w:val="000C537E"/>
    <w:rsid w:val="000C70FF"/>
    <w:rsid w:val="000C7715"/>
    <w:rsid w:val="000D1DDD"/>
    <w:rsid w:val="000D5EC7"/>
    <w:rsid w:val="000E190C"/>
    <w:rsid w:val="000E4C75"/>
    <w:rsid w:val="000F792E"/>
    <w:rsid w:val="0010179C"/>
    <w:rsid w:val="00117EC2"/>
    <w:rsid w:val="00122943"/>
    <w:rsid w:val="0012476C"/>
    <w:rsid w:val="00127F61"/>
    <w:rsid w:val="00131764"/>
    <w:rsid w:val="00134134"/>
    <w:rsid w:val="00136D33"/>
    <w:rsid w:val="0013735F"/>
    <w:rsid w:val="001404D8"/>
    <w:rsid w:val="001513AC"/>
    <w:rsid w:val="00151902"/>
    <w:rsid w:val="00152BDF"/>
    <w:rsid w:val="001728A5"/>
    <w:rsid w:val="00175403"/>
    <w:rsid w:val="00185BF5"/>
    <w:rsid w:val="00192766"/>
    <w:rsid w:val="00192C98"/>
    <w:rsid w:val="00196957"/>
    <w:rsid w:val="001B1D52"/>
    <w:rsid w:val="001B3C10"/>
    <w:rsid w:val="001B7DF1"/>
    <w:rsid w:val="001C0D47"/>
    <w:rsid w:val="001C1352"/>
    <w:rsid w:val="001D5B64"/>
    <w:rsid w:val="001E0D2C"/>
    <w:rsid w:val="001E26D1"/>
    <w:rsid w:val="001E6C66"/>
    <w:rsid w:val="001E7665"/>
    <w:rsid w:val="001F3B6A"/>
    <w:rsid w:val="001F542A"/>
    <w:rsid w:val="001F71A8"/>
    <w:rsid w:val="00202D04"/>
    <w:rsid w:val="002033EC"/>
    <w:rsid w:val="00205D69"/>
    <w:rsid w:val="00207A4A"/>
    <w:rsid w:val="002108AF"/>
    <w:rsid w:val="00213C9F"/>
    <w:rsid w:val="00220411"/>
    <w:rsid w:val="0022191D"/>
    <w:rsid w:val="0022466F"/>
    <w:rsid w:val="00224AC5"/>
    <w:rsid w:val="00232F05"/>
    <w:rsid w:val="0023595D"/>
    <w:rsid w:val="00237516"/>
    <w:rsid w:val="00242804"/>
    <w:rsid w:val="00243D2B"/>
    <w:rsid w:val="002618C8"/>
    <w:rsid w:val="00262280"/>
    <w:rsid w:val="00263EE8"/>
    <w:rsid w:val="00273059"/>
    <w:rsid w:val="00276E15"/>
    <w:rsid w:val="00277738"/>
    <w:rsid w:val="002845EA"/>
    <w:rsid w:val="002853B0"/>
    <w:rsid w:val="002860EF"/>
    <w:rsid w:val="00286D81"/>
    <w:rsid w:val="002903EF"/>
    <w:rsid w:val="0029173B"/>
    <w:rsid w:val="00293F02"/>
    <w:rsid w:val="00294078"/>
    <w:rsid w:val="00295ABA"/>
    <w:rsid w:val="00295FA6"/>
    <w:rsid w:val="00296ED2"/>
    <w:rsid w:val="00297F6C"/>
    <w:rsid w:val="002A068C"/>
    <w:rsid w:val="002A1C3E"/>
    <w:rsid w:val="002A29AF"/>
    <w:rsid w:val="002A7FBD"/>
    <w:rsid w:val="002B018B"/>
    <w:rsid w:val="002B0E43"/>
    <w:rsid w:val="002B346F"/>
    <w:rsid w:val="002B5952"/>
    <w:rsid w:val="002B7D8D"/>
    <w:rsid w:val="002C6D83"/>
    <w:rsid w:val="002D09AD"/>
    <w:rsid w:val="002D200F"/>
    <w:rsid w:val="002E1773"/>
    <w:rsid w:val="002E6073"/>
    <w:rsid w:val="002F33A1"/>
    <w:rsid w:val="00300FDD"/>
    <w:rsid w:val="00303305"/>
    <w:rsid w:val="00313C75"/>
    <w:rsid w:val="00314E29"/>
    <w:rsid w:val="00316770"/>
    <w:rsid w:val="0033014C"/>
    <w:rsid w:val="003305E1"/>
    <w:rsid w:val="00331890"/>
    <w:rsid w:val="0033579B"/>
    <w:rsid w:val="003357E8"/>
    <w:rsid w:val="00335CFE"/>
    <w:rsid w:val="00337677"/>
    <w:rsid w:val="00342E79"/>
    <w:rsid w:val="00345F3C"/>
    <w:rsid w:val="003465A6"/>
    <w:rsid w:val="0034679D"/>
    <w:rsid w:val="00351413"/>
    <w:rsid w:val="00355C82"/>
    <w:rsid w:val="0035663E"/>
    <w:rsid w:val="00362414"/>
    <w:rsid w:val="003635C1"/>
    <w:rsid w:val="00363F7A"/>
    <w:rsid w:val="003641AE"/>
    <w:rsid w:val="00367F1A"/>
    <w:rsid w:val="00381F07"/>
    <w:rsid w:val="0038421F"/>
    <w:rsid w:val="00387815"/>
    <w:rsid w:val="003932CB"/>
    <w:rsid w:val="003961B0"/>
    <w:rsid w:val="003A043D"/>
    <w:rsid w:val="003A2ED6"/>
    <w:rsid w:val="003B3DC1"/>
    <w:rsid w:val="003B5CD9"/>
    <w:rsid w:val="003B6BF5"/>
    <w:rsid w:val="003C1CA6"/>
    <w:rsid w:val="003C3454"/>
    <w:rsid w:val="003C7982"/>
    <w:rsid w:val="003D3792"/>
    <w:rsid w:val="003D3919"/>
    <w:rsid w:val="003D4B3A"/>
    <w:rsid w:val="003D630F"/>
    <w:rsid w:val="003D7657"/>
    <w:rsid w:val="003D76E8"/>
    <w:rsid w:val="003E2E90"/>
    <w:rsid w:val="003E3685"/>
    <w:rsid w:val="003F031B"/>
    <w:rsid w:val="00400F47"/>
    <w:rsid w:val="00402253"/>
    <w:rsid w:val="00404B21"/>
    <w:rsid w:val="004151AA"/>
    <w:rsid w:val="0043008D"/>
    <w:rsid w:val="00432FB1"/>
    <w:rsid w:val="004359BE"/>
    <w:rsid w:val="00441E4E"/>
    <w:rsid w:val="00452D79"/>
    <w:rsid w:val="00453AB1"/>
    <w:rsid w:val="004630EE"/>
    <w:rsid w:val="00467E31"/>
    <w:rsid w:val="00467FD7"/>
    <w:rsid w:val="00470932"/>
    <w:rsid w:val="004744E5"/>
    <w:rsid w:val="00474B72"/>
    <w:rsid w:val="004779E6"/>
    <w:rsid w:val="00480F22"/>
    <w:rsid w:val="00483015"/>
    <w:rsid w:val="00484384"/>
    <w:rsid w:val="00487E08"/>
    <w:rsid w:val="00493BE4"/>
    <w:rsid w:val="004A08F9"/>
    <w:rsid w:val="004A1B73"/>
    <w:rsid w:val="004A3710"/>
    <w:rsid w:val="004A5BAF"/>
    <w:rsid w:val="004A641A"/>
    <w:rsid w:val="004B742C"/>
    <w:rsid w:val="004C00B5"/>
    <w:rsid w:val="004C3BB2"/>
    <w:rsid w:val="004D3BB6"/>
    <w:rsid w:val="004D424D"/>
    <w:rsid w:val="004D670A"/>
    <w:rsid w:val="004D7CB1"/>
    <w:rsid w:val="004F0787"/>
    <w:rsid w:val="004F2C4F"/>
    <w:rsid w:val="005048B8"/>
    <w:rsid w:val="00504C34"/>
    <w:rsid w:val="005214C3"/>
    <w:rsid w:val="00523E66"/>
    <w:rsid w:val="0052406E"/>
    <w:rsid w:val="00525736"/>
    <w:rsid w:val="00537B86"/>
    <w:rsid w:val="005412D5"/>
    <w:rsid w:val="0054260D"/>
    <w:rsid w:val="00544E15"/>
    <w:rsid w:val="00544E2E"/>
    <w:rsid w:val="00546F1A"/>
    <w:rsid w:val="0054707D"/>
    <w:rsid w:val="005513A8"/>
    <w:rsid w:val="00554FF3"/>
    <w:rsid w:val="005551E7"/>
    <w:rsid w:val="005568E3"/>
    <w:rsid w:val="0056184D"/>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30C1"/>
    <w:rsid w:val="005A6649"/>
    <w:rsid w:val="005A7B27"/>
    <w:rsid w:val="005B41EE"/>
    <w:rsid w:val="005B47ED"/>
    <w:rsid w:val="005B649A"/>
    <w:rsid w:val="005B78D0"/>
    <w:rsid w:val="005B7E26"/>
    <w:rsid w:val="005D035A"/>
    <w:rsid w:val="005D2F66"/>
    <w:rsid w:val="005D4819"/>
    <w:rsid w:val="005D4B98"/>
    <w:rsid w:val="005D5CB6"/>
    <w:rsid w:val="005D615E"/>
    <w:rsid w:val="005E267C"/>
    <w:rsid w:val="005E346F"/>
    <w:rsid w:val="005E42AE"/>
    <w:rsid w:val="005F23AF"/>
    <w:rsid w:val="005F2E80"/>
    <w:rsid w:val="005F5903"/>
    <w:rsid w:val="00604407"/>
    <w:rsid w:val="006055AA"/>
    <w:rsid w:val="006055E4"/>
    <w:rsid w:val="0061768A"/>
    <w:rsid w:val="00630E4B"/>
    <w:rsid w:val="00634545"/>
    <w:rsid w:val="0065009C"/>
    <w:rsid w:val="00654F08"/>
    <w:rsid w:val="0065773D"/>
    <w:rsid w:val="006579B9"/>
    <w:rsid w:val="006602F2"/>
    <w:rsid w:val="006626EF"/>
    <w:rsid w:val="0066419D"/>
    <w:rsid w:val="00676C80"/>
    <w:rsid w:val="006818C9"/>
    <w:rsid w:val="006879C7"/>
    <w:rsid w:val="00693E51"/>
    <w:rsid w:val="00695B00"/>
    <w:rsid w:val="00697E94"/>
    <w:rsid w:val="00697F39"/>
    <w:rsid w:val="006A5798"/>
    <w:rsid w:val="006B03C1"/>
    <w:rsid w:val="006B0EDF"/>
    <w:rsid w:val="006B3266"/>
    <w:rsid w:val="006B4991"/>
    <w:rsid w:val="006B4B61"/>
    <w:rsid w:val="006C37FE"/>
    <w:rsid w:val="006C60D4"/>
    <w:rsid w:val="006C6512"/>
    <w:rsid w:val="006C7358"/>
    <w:rsid w:val="006D3F3D"/>
    <w:rsid w:val="006D4414"/>
    <w:rsid w:val="006D709B"/>
    <w:rsid w:val="006E2A9D"/>
    <w:rsid w:val="006E3A19"/>
    <w:rsid w:val="006E522C"/>
    <w:rsid w:val="006F0113"/>
    <w:rsid w:val="006F2B1A"/>
    <w:rsid w:val="006F31A4"/>
    <w:rsid w:val="006F453C"/>
    <w:rsid w:val="006F4D8A"/>
    <w:rsid w:val="00700EEB"/>
    <w:rsid w:val="00701A4E"/>
    <w:rsid w:val="00702E0E"/>
    <w:rsid w:val="00703107"/>
    <w:rsid w:val="00704937"/>
    <w:rsid w:val="00704E81"/>
    <w:rsid w:val="00705D12"/>
    <w:rsid w:val="007074CD"/>
    <w:rsid w:val="00720495"/>
    <w:rsid w:val="007275DF"/>
    <w:rsid w:val="007313BC"/>
    <w:rsid w:val="0073191D"/>
    <w:rsid w:val="00732220"/>
    <w:rsid w:val="00732EBB"/>
    <w:rsid w:val="007346B7"/>
    <w:rsid w:val="00735862"/>
    <w:rsid w:val="00741918"/>
    <w:rsid w:val="007424EF"/>
    <w:rsid w:val="007458C0"/>
    <w:rsid w:val="007474A8"/>
    <w:rsid w:val="00753EF1"/>
    <w:rsid w:val="007608CF"/>
    <w:rsid w:val="00761EF6"/>
    <w:rsid w:val="00762CC6"/>
    <w:rsid w:val="00776BA0"/>
    <w:rsid w:val="00777632"/>
    <w:rsid w:val="00781D3E"/>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40F6"/>
    <w:rsid w:val="007F4FC5"/>
    <w:rsid w:val="007F7728"/>
    <w:rsid w:val="007F79EB"/>
    <w:rsid w:val="00802D58"/>
    <w:rsid w:val="00806EE2"/>
    <w:rsid w:val="00806F5F"/>
    <w:rsid w:val="0081264D"/>
    <w:rsid w:val="00816BF1"/>
    <w:rsid w:val="00817DC5"/>
    <w:rsid w:val="00820BD9"/>
    <w:rsid w:val="00823F49"/>
    <w:rsid w:val="0082492A"/>
    <w:rsid w:val="0082683A"/>
    <w:rsid w:val="00833E4B"/>
    <w:rsid w:val="008408FD"/>
    <w:rsid w:val="008413FB"/>
    <w:rsid w:val="00841F06"/>
    <w:rsid w:val="00845A2F"/>
    <w:rsid w:val="00846DA4"/>
    <w:rsid w:val="00853371"/>
    <w:rsid w:val="00860959"/>
    <w:rsid w:val="0086155A"/>
    <w:rsid w:val="008707E3"/>
    <w:rsid w:val="008713B1"/>
    <w:rsid w:val="00874DC7"/>
    <w:rsid w:val="008774CC"/>
    <w:rsid w:val="008774E0"/>
    <w:rsid w:val="00881009"/>
    <w:rsid w:val="00882112"/>
    <w:rsid w:val="00884A34"/>
    <w:rsid w:val="00884C58"/>
    <w:rsid w:val="00895112"/>
    <w:rsid w:val="00896052"/>
    <w:rsid w:val="00896E79"/>
    <w:rsid w:val="008A0FED"/>
    <w:rsid w:val="008B3024"/>
    <w:rsid w:val="008B4923"/>
    <w:rsid w:val="008B54DF"/>
    <w:rsid w:val="008B663B"/>
    <w:rsid w:val="008B6D77"/>
    <w:rsid w:val="008C0220"/>
    <w:rsid w:val="008C3C13"/>
    <w:rsid w:val="008C415E"/>
    <w:rsid w:val="008C4F08"/>
    <w:rsid w:val="008C71D6"/>
    <w:rsid w:val="008C754E"/>
    <w:rsid w:val="008C7DC7"/>
    <w:rsid w:val="008D1D9D"/>
    <w:rsid w:val="008D4C70"/>
    <w:rsid w:val="008E1128"/>
    <w:rsid w:val="008E2A10"/>
    <w:rsid w:val="008E76A8"/>
    <w:rsid w:val="008F3E4A"/>
    <w:rsid w:val="008F44A1"/>
    <w:rsid w:val="008F54BE"/>
    <w:rsid w:val="008F56A9"/>
    <w:rsid w:val="00900D71"/>
    <w:rsid w:val="00905678"/>
    <w:rsid w:val="00906B60"/>
    <w:rsid w:val="0091264D"/>
    <w:rsid w:val="00912F50"/>
    <w:rsid w:val="00913BB9"/>
    <w:rsid w:val="009154F2"/>
    <w:rsid w:val="00916614"/>
    <w:rsid w:val="00921F7A"/>
    <w:rsid w:val="00925CCF"/>
    <w:rsid w:val="00931ED7"/>
    <w:rsid w:val="00932DDF"/>
    <w:rsid w:val="00934FA6"/>
    <w:rsid w:val="009357A0"/>
    <w:rsid w:val="00935DD1"/>
    <w:rsid w:val="00937DEA"/>
    <w:rsid w:val="00952C6B"/>
    <w:rsid w:val="00961005"/>
    <w:rsid w:val="00962CB1"/>
    <w:rsid w:val="00970E66"/>
    <w:rsid w:val="0097131C"/>
    <w:rsid w:val="00971502"/>
    <w:rsid w:val="009747A7"/>
    <w:rsid w:val="00982ABC"/>
    <w:rsid w:val="0098536E"/>
    <w:rsid w:val="00987EE0"/>
    <w:rsid w:val="0099591F"/>
    <w:rsid w:val="009A19EE"/>
    <w:rsid w:val="009A1E9A"/>
    <w:rsid w:val="009A4B15"/>
    <w:rsid w:val="009A6353"/>
    <w:rsid w:val="009B19DD"/>
    <w:rsid w:val="009B5834"/>
    <w:rsid w:val="009B642F"/>
    <w:rsid w:val="009B64A9"/>
    <w:rsid w:val="009C40BF"/>
    <w:rsid w:val="009C567D"/>
    <w:rsid w:val="009C6124"/>
    <w:rsid w:val="009C61A3"/>
    <w:rsid w:val="009D0489"/>
    <w:rsid w:val="009D3425"/>
    <w:rsid w:val="009E4C5B"/>
    <w:rsid w:val="009F1260"/>
    <w:rsid w:val="009F1BC8"/>
    <w:rsid w:val="009F2D84"/>
    <w:rsid w:val="009F3772"/>
    <w:rsid w:val="00A015EC"/>
    <w:rsid w:val="00A017D5"/>
    <w:rsid w:val="00A02866"/>
    <w:rsid w:val="00A044FC"/>
    <w:rsid w:val="00A1303E"/>
    <w:rsid w:val="00A302F6"/>
    <w:rsid w:val="00A37D55"/>
    <w:rsid w:val="00A43E34"/>
    <w:rsid w:val="00A46AB4"/>
    <w:rsid w:val="00A50087"/>
    <w:rsid w:val="00A63E21"/>
    <w:rsid w:val="00A65D51"/>
    <w:rsid w:val="00A660C6"/>
    <w:rsid w:val="00A73160"/>
    <w:rsid w:val="00A7468D"/>
    <w:rsid w:val="00A827F9"/>
    <w:rsid w:val="00A846AC"/>
    <w:rsid w:val="00A8765A"/>
    <w:rsid w:val="00A90CA0"/>
    <w:rsid w:val="00A94E5C"/>
    <w:rsid w:val="00A95614"/>
    <w:rsid w:val="00A97948"/>
    <w:rsid w:val="00AA3E79"/>
    <w:rsid w:val="00AA46F2"/>
    <w:rsid w:val="00AA66DC"/>
    <w:rsid w:val="00AB3301"/>
    <w:rsid w:val="00AB5316"/>
    <w:rsid w:val="00AB5710"/>
    <w:rsid w:val="00AC0427"/>
    <w:rsid w:val="00AC1CC4"/>
    <w:rsid w:val="00AC2D6F"/>
    <w:rsid w:val="00AF0148"/>
    <w:rsid w:val="00AF2122"/>
    <w:rsid w:val="00B007B4"/>
    <w:rsid w:val="00B017A5"/>
    <w:rsid w:val="00B01CF8"/>
    <w:rsid w:val="00B04354"/>
    <w:rsid w:val="00B12660"/>
    <w:rsid w:val="00B14634"/>
    <w:rsid w:val="00B304CD"/>
    <w:rsid w:val="00B37D99"/>
    <w:rsid w:val="00B42F25"/>
    <w:rsid w:val="00B44470"/>
    <w:rsid w:val="00B537EE"/>
    <w:rsid w:val="00B55FA4"/>
    <w:rsid w:val="00B61C4C"/>
    <w:rsid w:val="00B61E83"/>
    <w:rsid w:val="00B62F9B"/>
    <w:rsid w:val="00B639AE"/>
    <w:rsid w:val="00B66AEE"/>
    <w:rsid w:val="00B73471"/>
    <w:rsid w:val="00B73BD1"/>
    <w:rsid w:val="00B75564"/>
    <w:rsid w:val="00B75905"/>
    <w:rsid w:val="00B810DE"/>
    <w:rsid w:val="00B92051"/>
    <w:rsid w:val="00B9215D"/>
    <w:rsid w:val="00B93953"/>
    <w:rsid w:val="00B9500B"/>
    <w:rsid w:val="00B96A69"/>
    <w:rsid w:val="00B971FB"/>
    <w:rsid w:val="00B97C3E"/>
    <w:rsid w:val="00B97FF7"/>
    <w:rsid w:val="00BA2610"/>
    <w:rsid w:val="00BB3D0F"/>
    <w:rsid w:val="00BB4CE4"/>
    <w:rsid w:val="00BC79B2"/>
    <w:rsid w:val="00BE00C5"/>
    <w:rsid w:val="00BE0920"/>
    <w:rsid w:val="00BE621B"/>
    <w:rsid w:val="00BE6886"/>
    <w:rsid w:val="00BF14CE"/>
    <w:rsid w:val="00BF4E2D"/>
    <w:rsid w:val="00BF7775"/>
    <w:rsid w:val="00C02577"/>
    <w:rsid w:val="00C166B0"/>
    <w:rsid w:val="00C35751"/>
    <w:rsid w:val="00C42A14"/>
    <w:rsid w:val="00C4500C"/>
    <w:rsid w:val="00C52A03"/>
    <w:rsid w:val="00C56EC1"/>
    <w:rsid w:val="00C61AF1"/>
    <w:rsid w:val="00C669E1"/>
    <w:rsid w:val="00C71A2C"/>
    <w:rsid w:val="00C80D7D"/>
    <w:rsid w:val="00C86661"/>
    <w:rsid w:val="00C86BC1"/>
    <w:rsid w:val="00C961AB"/>
    <w:rsid w:val="00CA0545"/>
    <w:rsid w:val="00CA0851"/>
    <w:rsid w:val="00CA1546"/>
    <w:rsid w:val="00CB05C5"/>
    <w:rsid w:val="00CD0434"/>
    <w:rsid w:val="00CD26E9"/>
    <w:rsid w:val="00CD5531"/>
    <w:rsid w:val="00CE6607"/>
    <w:rsid w:val="00CF0F23"/>
    <w:rsid w:val="00CF10C9"/>
    <w:rsid w:val="00D0525F"/>
    <w:rsid w:val="00D108F0"/>
    <w:rsid w:val="00D114F3"/>
    <w:rsid w:val="00D16387"/>
    <w:rsid w:val="00D17AAB"/>
    <w:rsid w:val="00D2670F"/>
    <w:rsid w:val="00D40E8E"/>
    <w:rsid w:val="00D46EDF"/>
    <w:rsid w:val="00D47DA5"/>
    <w:rsid w:val="00D533BC"/>
    <w:rsid w:val="00D53B44"/>
    <w:rsid w:val="00D54E51"/>
    <w:rsid w:val="00D65D9C"/>
    <w:rsid w:val="00D67712"/>
    <w:rsid w:val="00D6772D"/>
    <w:rsid w:val="00D7385C"/>
    <w:rsid w:val="00D73E9F"/>
    <w:rsid w:val="00D756BE"/>
    <w:rsid w:val="00D775ED"/>
    <w:rsid w:val="00D80B19"/>
    <w:rsid w:val="00D8104F"/>
    <w:rsid w:val="00D8598D"/>
    <w:rsid w:val="00D92EC8"/>
    <w:rsid w:val="00D93246"/>
    <w:rsid w:val="00D944BA"/>
    <w:rsid w:val="00D96BD0"/>
    <w:rsid w:val="00DA26C9"/>
    <w:rsid w:val="00DA3721"/>
    <w:rsid w:val="00DA491F"/>
    <w:rsid w:val="00DA6925"/>
    <w:rsid w:val="00DA69AF"/>
    <w:rsid w:val="00DB2CD6"/>
    <w:rsid w:val="00DB725B"/>
    <w:rsid w:val="00DB789D"/>
    <w:rsid w:val="00DC02FE"/>
    <w:rsid w:val="00DC47D7"/>
    <w:rsid w:val="00DC70E7"/>
    <w:rsid w:val="00DD1A28"/>
    <w:rsid w:val="00DD3507"/>
    <w:rsid w:val="00DE35D1"/>
    <w:rsid w:val="00DE48E7"/>
    <w:rsid w:val="00DF13CF"/>
    <w:rsid w:val="00DF1D79"/>
    <w:rsid w:val="00DF20F7"/>
    <w:rsid w:val="00DF4518"/>
    <w:rsid w:val="00DF617D"/>
    <w:rsid w:val="00E03771"/>
    <w:rsid w:val="00E0474C"/>
    <w:rsid w:val="00E072B7"/>
    <w:rsid w:val="00E11456"/>
    <w:rsid w:val="00E1529A"/>
    <w:rsid w:val="00E1726F"/>
    <w:rsid w:val="00E204AC"/>
    <w:rsid w:val="00E27521"/>
    <w:rsid w:val="00E41AE9"/>
    <w:rsid w:val="00E448B5"/>
    <w:rsid w:val="00E5362F"/>
    <w:rsid w:val="00E54D57"/>
    <w:rsid w:val="00E54F29"/>
    <w:rsid w:val="00E62319"/>
    <w:rsid w:val="00E6487D"/>
    <w:rsid w:val="00E66218"/>
    <w:rsid w:val="00E72FC9"/>
    <w:rsid w:val="00E7414F"/>
    <w:rsid w:val="00E7521A"/>
    <w:rsid w:val="00E81EC3"/>
    <w:rsid w:val="00E8452A"/>
    <w:rsid w:val="00E85255"/>
    <w:rsid w:val="00E87977"/>
    <w:rsid w:val="00EA2CF6"/>
    <w:rsid w:val="00EA6202"/>
    <w:rsid w:val="00EB2D5B"/>
    <w:rsid w:val="00EB34DF"/>
    <w:rsid w:val="00EB58F6"/>
    <w:rsid w:val="00EB7BAC"/>
    <w:rsid w:val="00EC29B3"/>
    <w:rsid w:val="00EC48A1"/>
    <w:rsid w:val="00EC5361"/>
    <w:rsid w:val="00ED2C30"/>
    <w:rsid w:val="00ED4EB6"/>
    <w:rsid w:val="00ED6EF1"/>
    <w:rsid w:val="00EE193E"/>
    <w:rsid w:val="00EE75F7"/>
    <w:rsid w:val="00EF7E02"/>
    <w:rsid w:val="00F009A1"/>
    <w:rsid w:val="00F00A3F"/>
    <w:rsid w:val="00F05317"/>
    <w:rsid w:val="00F06AA8"/>
    <w:rsid w:val="00F11146"/>
    <w:rsid w:val="00F168A3"/>
    <w:rsid w:val="00F20008"/>
    <w:rsid w:val="00F22CE5"/>
    <w:rsid w:val="00F249C2"/>
    <w:rsid w:val="00F25274"/>
    <w:rsid w:val="00F30D97"/>
    <w:rsid w:val="00F43F0D"/>
    <w:rsid w:val="00F447BD"/>
    <w:rsid w:val="00F51DE2"/>
    <w:rsid w:val="00F53EC3"/>
    <w:rsid w:val="00F554E8"/>
    <w:rsid w:val="00F575AD"/>
    <w:rsid w:val="00F66195"/>
    <w:rsid w:val="00F665AB"/>
    <w:rsid w:val="00F75558"/>
    <w:rsid w:val="00F75C54"/>
    <w:rsid w:val="00F77C8D"/>
    <w:rsid w:val="00F8063A"/>
    <w:rsid w:val="00F83661"/>
    <w:rsid w:val="00F93739"/>
    <w:rsid w:val="00FB15EB"/>
    <w:rsid w:val="00FB1AFB"/>
    <w:rsid w:val="00FB2C1B"/>
    <w:rsid w:val="00FC177B"/>
    <w:rsid w:val="00FC2642"/>
    <w:rsid w:val="00FC6A6F"/>
    <w:rsid w:val="00FD0DD5"/>
    <w:rsid w:val="00FD4063"/>
    <w:rsid w:val="00FE01D9"/>
    <w:rsid w:val="00FE3802"/>
    <w:rsid w:val="00FE699B"/>
    <w:rsid w:val="00FF44DD"/>
    <w:rsid w:val="00FF580C"/>
    <w:rsid w:val="00FF6C46"/>
    <w:rsid w:val="00FF7504"/>
    <w:rsid w:val="01AF5332"/>
    <w:rsid w:val="03C3018C"/>
    <w:rsid w:val="093A12E4"/>
    <w:rsid w:val="0C667EA6"/>
    <w:rsid w:val="156D4658"/>
    <w:rsid w:val="19B018D7"/>
    <w:rsid w:val="19F1668A"/>
    <w:rsid w:val="1DCD6AB3"/>
    <w:rsid w:val="23E0478E"/>
    <w:rsid w:val="24C43A2C"/>
    <w:rsid w:val="26C52111"/>
    <w:rsid w:val="27E76110"/>
    <w:rsid w:val="2AB9711D"/>
    <w:rsid w:val="2B2937A5"/>
    <w:rsid w:val="2DEF26D6"/>
    <w:rsid w:val="367810B3"/>
    <w:rsid w:val="37E94405"/>
    <w:rsid w:val="3B466628"/>
    <w:rsid w:val="4B3C78A4"/>
    <w:rsid w:val="4E112440"/>
    <w:rsid w:val="4E2D31EF"/>
    <w:rsid w:val="510C5E54"/>
    <w:rsid w:val="52216A9B"/>
    <w:rsid w:val="52427E13"/>
    <w:rsid w:val="59943EF2"/>
    <w:rsid w:val="5ADE61AD"/>
    <w:rsid w:val="5B9A25B0"/>
    <w:rsid w:val="5C82428E"/>
    <w:rsid w:val="5F251B4F"/>
    <w:rsid w:val="61E075AC"/>
    <w:rsid w:val="69025CC1"/>
    <w:rsid w:val="6C2F5391"/>
    <w:rsid w:val="72FF629D"/>
    <w:rsid w:val="7417077D"/>
    <w:rsid w:val="74A80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nhideWhenUsed/>
    <w:qFormat/>
    <w:uiPriority w:val="0"/>
    <w:rPr>
      <w:rFonts w:cs="Times New Roman"/>
    </w:rPr>
  </w:style>
  <w:style w:type="character" w:styleId="31">
    <w:name w:val="FollowedHyperlink"/>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qFormat/>
    <w:locked/>
    <w:uiPriority w:val="0"/>
    <w:rPr>
      <w:rFonts w:ascii="宋体" w:hAnsi="Courier New"/>
      <w:kern w:val="2"/>
      <w:sz w:val="24"/>
    </w:rPr>
  </w:style>
  <w:style w:type="character" w:customStyle="1" w:styleId="40">
    <w:name w:val="日期 Char"/>
    <w:link w:val="17"/>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qFormat/>
    <w:uiPriority w:val="0"/>
    <w:rPr>
      <w:rFonts w:ascii="Cambria" w:hAnsi="Cambria" w:eastAsia="宋体"/>
      <w:b/>
      <w:bCs/>
      <w:kern w:val="2"/>
      <w:sz w:val="32"/>
      <w:szCs w:val="32"/>
      <w:lang w:val="en-US" w:eastAsia="zh-CN" w:bidi="ar-SA"/>
    </w:rPr>
  </w:style>
  <w:style w:type="character" w:customStyle="1" w:styleId="45">
    <w:name w:val="批注主题 Char"/>
    <w:link w:val="26"/>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qFormat/>
    <w:uiPriority w:val="0"/>
    <w:rPr>
      <w:rFonts w:eastAsia="仿宋_GB2312"/>
      <w:kern w:val="2"/>
      <w:sz w:val="18"/>
      <w:szCs w:val="18"/>
      <w:lang w:bidi="ar-SA"/>
    </w:rPr>
  </w:style>
  <w:style w:type="character" w:customStyle="1" w:styleId="52">
    <w:name w:val="正文文本缩进 Char1"/>
    <w:qFormat/>
    <w:uiPriority w:val="0"/>
    <w:rPr>
      <w:rFonts w:ascii="Cambria" w:hAnsi="Cambria"/>
      <w:kern w:val="2"/>
      <w:sz w:val="24"/>
      <w:szCs w:val="24"/>
    </w:rPr>
  </w:style>
  <w:style w:type="character" w:customStyle="1" w:styleId="53">
    <w:name w:val="纯文本 Char"/>
    <w:qFormat/>
    <w:uiPriority w:val="0"/>
    <w:rPr>
      <w:rFonts w:ascii="宋体" w:hAnsi="Courier New" w:cs="Courier New"/>
      <w:kern w:val="2"/>
      <w:sz w:val="21"/>
      <w:szCs w:val="21"/>
    </w:rPr>
  </w:style>
  <w:style w:type="character" w:customStyle="1" w:styleId="54">
    <w:name w:val="Char Char1"/>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qFormat/>
    <w:uiPriority w:val="0"/>
    <w:pPr>
      <w:spacing w:line="240" w:lineRule="atLeast"/>
      <w:ind w:left="420" w:firstLine="420"/>
    </w:pPr>
    <w:rPr>
      <w:kern w:val="0"/>
      <w:szCs w:val="21"/>
    </w:rPr>
  </w:style>
  <w:style w:type="paragraph" w:customStyle="1" w:styleId="164">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48C5-FECF-4535-AFB9-A07A9EC8B0EF}">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67</Pages>
  <Words>5415</Words>
  <Characters>30867</Characters>
  <Lines>257</Lines>
  <Paragraphs>72</Paragraphs>
  <TotalTime>1704</TotalTime>
  <ScaleCrop>false</ScaleCrop>
  <LinksUpToDate>false</LinksUpToDate>
  <CharactersWithSpaces>36210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2020-05-13T05:44:00Z</dcterms:created>
  <dc:creator>市政务服务办</dc:creator>
  <cp:lastModifiedBy>陌上&amp;花开</cp:lastModifiedBy>
  <cp:lastPrinted>2023-01-06T06:28:00Z</cp:lastPrinted>
  <dcterms:modified xsi:type="dcterms:W3CDTF">2023-09-12T01:48:07Z</dcterms:modified>
  <dc:subject>青岛市政府采购采购文件范本</dc:subject>
  <dc:title>青岛市政府采购采购文件范本</dc:title>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AB0E5AE9865C4900B2552F388743600E</vt:lpwstr>
  </property>
</Properties>
</file>