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40"/>
          <w:szCs w:val="40"/>
        </w:rPr>
      </w:pPr>
      <w:r>
        <w:rPr>
          <w:rFonts w:hint="eastAsia" w:ascii="方正小标宋_GBK" w:eastAsia="方正小标宋_GBK"/>
          <w:b/>
          <w:bCs/>
          <w:sz w:val="40"/>
          <w:szCs w:val="40"/>
          <w:lang w:val="en-US" w:eastAsia="zh-CN"/>
        </w:rPr>
        <w:t>广博路群众文体中心保洁服务</w:t>
      </w:r>
      <w:r>
        <w:rPr>
          <w:rFonts w:hint="eastAsia" w:ascii="方正小标宋_GBK" w:eastAsia="方正小标宋_GBK"/>
          <w:b/>
          <w:bCs/>
          <w:sz w:val="40"/>
          <w:szCs w:val="40"/>
        </w:rPr>
        <w:t>项目询价函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我公司现对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广博路群众文体中心保洁服务</w:t>
      </w:r>
      <w:r>
        <w:rPr>
          <w:rFonts w:hint="eastAsia" w:ascii="仿宋_GB2312" w:eastAsia="仿宋_GB2312"/>
          <w:sz w:val="28"/>
          <w:szCs w:val="28"/>
        </w:rPr>
        <w:t>项目向贵公司发出询价邀请，具体如下：</w:t>
      </w:r>
    </w:p>
    <w:p>
      <w:pPr>
        <w:pStyle w:val="12"/>
        <w:spacing w:line="560" w:lineRule="exact"/>
        <w:ind w:left="0" w:leftChars="0"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广博路群众文体中心保洁服务</w:t>
      </w:r>
      <w:r>
        <w:rPr>
          <w:rFonts w:hint="eastAsia" w:ascii="仿宋_GB2312" w:eastAsia="仿宋_GB2312"/>
          <w:sz w:val="28"/>
          <w:szCs w:val="28"/>
        </w:rPr>
        <w:t>项目</w:t>
      </w:r>
    </w:p>
    <w:p>
      <w:pPr>
        <w:pStyle w:val="12"/>
        <w:spacing w:line="560" w:lineRule="exact"/>
        <w:ind w:left="0" w:leftChars="0" w:firstLine="562" w:firstLineChars="200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2.项目地点：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青岛高新区和融路56号广博路群众文体中心</w:t>
      </w:r>
    </w:p>
    <w:p>
      <w:pPr>
        <w:pStyle w:val="12"/>
        <w:spacing w:line="560" w:lineRule="exact"/>
        <w:ind w:left="0" w:leftChars="0" w:firstLine="562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3.采购需求：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配置不少于2名保洁工人，配合场馆完成内外区域卫生保洁</w:t>
      </w:r>
    </w:p>
    <w:p>
      <w:pPr>
        <w:pStyle w:val="12"/>
        <w:spacing w:line="560" w:lineRule="exact"/>
        <w:ind w:left="56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4.最高限价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>102274.9</w:t>
      </w:r>
      <w:r>
        <w:rPr>
          <w:rFonts w:hint="eastAsia" w:ascii="仿宋_GB2312" w:eastAsia="仿宋_GB2312"/>
          <w:sz w:val="28"/>
          <w:szCs w:val="28"/>
        </w:rPr>
        <w:t>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/年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12"/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明细单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tbl>
      <w:tblPr>
        <w:tblStyle w:val="7"/>
        <w:tblW w:w="9935" w:type="dxa"/>
        <w:tblInd w:w="-4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7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品  名/服  务</w:t>
            </w:r>
          </w:p>
        </w:tc>
        <w:tc>
          <w:tcPr>
            <w:tcW w:w="7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配置/品牌/型号/服务需求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广博路群众文体中心保洁服务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1.服务方配置不少于2名保洁人员，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保证工作人员身体健康，有能力适应工作要求，没有刑事犯罪记录，年龄比例合理,保密意识强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，保洁人员统一着装上岗。工作时间为周一至周日7:30-20:30。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保洁要求：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气膜馆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(1)每日8:00前，完成9片羽毛球场地清洁工作，要求在场馆营业前羽毛球场地无水渍，场地休息长条凳无杂物。13:30公益开放时段结束后，需对羽毛球场地再次完成一次清洁。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(2)每日15:00前需完成对3片篮球场地清洁工作，用半干拖布清洁地板，要求清洁过后地板无明显水渍、灰尘，场地休息长条凳及场地周边无杂物。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(3)每日需完成一次健身区域清洁工作，擦拭器械表面汗渍、灰尘，清洁地面灰尘，用干净消毒抹布清洁瑜伽垫及训练座椅，清洁男、女更衣室。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(4)每隔2小时对气膜场馆以上区域进行一次卫生巡检工作，及时清理羽毛球场、篮球场垃圾桶及场地水渍、汗渍等其他垃圾，并填写巡检记录表。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钢结构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(1)每日8:30前，完成一层、二层公共卫生间清洁工作，要求室内无异味、地面无水渍、及时清理垃圾桶。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(2)每日9:00前，完成二层走廊的卫生清洁，要求地面无水渍、杂物。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(3)每日10:00前，完成一层大厅、走廊卫生清洁工作，要求地面无水渍、杂物。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(4)每日10:30前，完成对一层男、女更衣室清洁工作，要求室内无异味、无杂物。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(5)每隔2小时对钢结构以上区域进行一次卫生巡检工作，并填写巡检记录表。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(6)每周对场馆入口玻璃门、旋转门完成2次清洁。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园区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(1)每日对停车场环境情况进行巡检，及时清理停车位、绿化带垃圾，保持卫生干净整洁。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(2)每年进行2次园区内绿化带杂草清除工作。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所有卫生器具、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保洁耗材、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消杀消毒的耗材均由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服务方自行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随时配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合场馆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临时加班及各种活动(如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各级部门的迎检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、节假日、重要活动等)，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周末以及法定节假日原则上不休息，正常轮休，碰到迎检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全员上岗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完成相关的物业活动。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5.在各级检查中，如果因为保洁的失误造成的扣分考核，由保洁公司自行承担或者从合同总额中扣除。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6.按照双方约定的卫生标准，接受市场方的日常考核，罚金及时缴纳或者从合同总额中扣除。</w:t>
            </w:r>
          </w:p>
        </w:tc>
      </w:tr>
    </w:tbl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>5、投标单位资格要求：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pacing w:line="56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具有独立法人资格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pacing w:line="56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具有履行合同所必须的专业技术能力。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pacing w:line="56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该询价函发布之日前三年无行贿犯罪等重大违法记录。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pacing w:line="56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通过中国裁判文书网（http://wenshu.court.gov.cn）查询无行贿犯罪记录。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pacing w:line="56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通过“信用中国”网站（www.creditchina.gov.cn）、未被列入失信被执行人、重大税收违法案件当事人、政府采购严重违法失信行为记录等名单的。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pacing w:line="560" w:lineRule="exact"/>
        <w:ind w:left="105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发票类型：增值税专用发票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报名截止时间：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响应文件递交、截止时间以及地点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时止。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地点：青岛高新运营管理有限公司会议室（高新区广博路群众文体中心2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03室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）。逾期递交或者未送达指定地点的投标文件不予接受。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开标时间以及地点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时间：202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地点：青岛高新运营管理有限公司会议室（高新区广博路群众文体中心2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03室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青岛高实燧石体育文化有限公司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地址：高新区广博路群众文体中心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苟昊书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电话：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13969720534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投标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单位须知前附表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条款名称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采购人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青岛高新运营管理有限公司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青岛高新区和融路56号广博路群众文体中心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资金来源及构成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报价有效期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自报价截止之日起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踏勘现场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不组织，自行踏勘。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投标保证金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本项目无需缴纳保证金。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发票类型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响应报价范围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含税全包价，包含提供相关服务的所有费用。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报价文件组成</w:t>
            </w:r>
          </w:p>
        </w:tc>
        <w:tc>
          <w:tcPr>
            <w:tcW w:w="532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）营业执照复印件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法定代表人身份证明（见附件）；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授权委托书（见附件）；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）在经营活动中无重大违法记录和行贿犯罪记录的书面声明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并附裁判文书网截图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（见附件）；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）报价清单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以上资料需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每页加盖公章，一式</w:t>
            </w:r>
            <w:r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封为一袋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最高限价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见询价函“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高限价”有关规定。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4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相应报价次数及定标方式</w:t>
            </w:r>
          </w:p>
        </w:tc>
        <w:tc>
          <w:tcPr>
            <w:tcW w:w="5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本项目采取最低价中标，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投标单位不少于五家。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第一轮报价结束后按照报价由高到低淘汰1/3(取整)。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第二轮参与报价单位在第一轮报价基础上自主下浮，并以第一轮最低报价为最高限价。报价结束后按照报价由高到低淘汰1/3（取整），若第二轮参与单位只有三家则不进行淘汰。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第三轮按照第二轮各单位的报价由高到低依次进行竞谈，最终通过竞争性谈判确定中标单位。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注：1）低于最高限价的报价均为有效报价，否则视为无效报价。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报价均为含税价。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若第一轮参与单位只有三家，则不进行淘汰，第二轮及第三轮均采用竞谈模式进行。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青岛高实燧石体育文化有限公司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附：法定代表人身份证复印件。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日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4"/>
          <w:highlight w:val="none"/>
          <w:u w:val="single"/>
        </w:rPr>
        <w:t>青岛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en-US" w:eastAsia="zh-CN"/>
        </w:rPr>
        <w:t>高实燧石体育文化有限公司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en-US" w:eastAsia="zh-CN"/>
        </w:rPr>
        <w:t>投标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单位名称）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highlight w:val="none"/>
          <w:lang w:val="en-US" w:eastAsia="zh-CN"/>
        </w:rPr>
        <w:t>起</w:t>
      </w: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被授权代表姓名：性别：年龄：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  <w:r>
        <w:rPr>
          <w:rFonts w:hint="eastAsia" w:ascii="仿宋_GB2312" w:hAnsi="仿宋" w:eastAsia="仿宋_GB2312" w:cs="仿宋"/>
          <w:sz w:val="24"/>
          <w:highlight w:val="none"/>
          <w:lang w:val="zh-CN"/>
        </w:rPr>
        <w:t>单位：部门：职务：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highlight w:val="none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  <w:lang w:eastAsia="zh-CN"/>
        </w:rPr>
        <w:t xml:space="preserve"> </w:t>
      </w:r>
      <w:r>
        <w:rPr>
          <w:rFonts w:hint="eastAsia" w:ascii="仿宋_GB2312" w:hAnsi="仿宋" w:eastAsia="仿宋_GB2312" w:cs="Arial"/>
          <w:sz w:val="24"/>
          <w:highlight w:val="none"/>
        </w:rPr>
        <w:t>单位名称（公章）：</w:t>
      </w:r>
    </w:p>
    <w:p>
      <w:pPr>
        <w:spacing w:line="360" w:lineRule="auto"/>
        <w:rPr>
          <w:rFonts w:ascii="仿宋_GB2312" w:hAnsi="仿宋" w:eastAsia="仿宋_GB2312" w:cs="Arial"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sz w:val="24"/>
          <w:highlight w:val="none"/>
        </w:rPr>
      </w:pPr>
      <w:r>
        <w:rPr>
          <w:rFonts w:hint="eastAsia" w:ascii="仿宋_GB2312" w:hAnsi="仿宋" w:eastAsia="仿宋_GB2312" w:cs="Arial"/>
          <w:sz w:val="24"/>
          <w:highlight w:val="none"/>
        </w:rPr>
        <w:t>日 期：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Arial"/>
          <w:sz w:val="24"/>
          <w:highlight w:val="none"/>
        </w:rPr>
        <w:t>年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Arial"/>
          <w:sz w:val="24"/>
          <w:highlight w:val="none"/>
        </w:rPr>
        <w:t>月</w:t>
      </w:r>
      <w:r>
        <w:rPr>
          <w:rFonts w:hint="eastAsia" w:ascii="仿宋_GB2312" w:hAnsi="仿宋" w:eastAsia="仿宋_GB2312" w:cs="Arial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Arial"/>
          <w:sz w:val="24"/>
          <w:highlight w:val="none"/>
        </w:rPr>
        <w:t>日</w:t>
      </w:r>
    </w:p>
    <w:p>
      <w:pPr>
        <w:widowControl/>
        <w:jc w:val="left"/>
        <w:rPr>
          <w:rFonts w:ascii="方正小标宋_GBK" w:hAnsi="Times New Roman" w:eastAsia="方正小标宋_GBK" w:cs="宋体"/>
          <w:sz w:val="32"/>
          <w:szCs w:val="36"/>
          <w:highlight w:val="none"/>
        </w:rPr>
      </w:pPr>
      <w:r>
        <w:rPr>
          <w:rFonts w:ascii="方正小标宋_GBK" w:hAnsi="Times New Roman" w:eastAsia="方正小标宋_GBK"/>
          <w:sz w:val="32"/>
          <w:szCs w:val="36"/>
          <w:highlight w:val="none"/>
        </w:rPr>
        <w:br w:type="page"/>
      </w:r>
    </w:p>
    <w:p>
      <w:pPr>
        <w:pStyle w:val="2"/>
        <w:snapToGrid w:val="0"/>
        <w:spacing w:before="295" w:after="295"/>
        <w:jc w:val="center"/>
        <w:rPr>
          <w:rFonts w:ascii="方正小标宋_GBK" w:hAnsi="Times New Roman" w:eastAsia="方正小标宋_GBK"/>
          <w:sz w:val="32"/>
          <w:szCs w:val="36"/>
          <w:highlight w:val="none"/>
        </w:rPr>
      </w:pPr>
      <w:r>
        <w:rPr>
          <w:rFonts w:ascii="方正小标宋_GBK" w:hAnsi="Times New Roman" w:eastAsia="方正小标宋_GBK"/>
          <w:sz w:val="32"/>
          <w:szCs w:val="36"/>
          <w:highlight w:val="none"/>
        </w:rPr>
        <w:t>在经营活动中无重大违法记录和行贿犯罪记录的书面声明</w:t>
      </w:r>
    </w:p>
    <w:p>
      <w:pPr>
        <w:spacing w:line="400" w:lineRule="exact"/>
        <w:jc w:val="center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我方在参加（项目名称）活动前3年内，我方被公开披露或查处的违法违规行为有：，但在经营活动中：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1、没有重大违法记录（重大违法记录指</w:t>
      </w:r>
      <w:r>
        <w:rPr>
          <w:rFonts w:hint="eastAsia" w:ascii="仿宋" w:hAnsi="仿宋" w:eastAsia="仿宋" w:cs="宋体"/>
          <w:kern w:val="0"/>
          <w:sz w:val="24"/>
          <w:highlight w:val="none"/>
        </w:rPr>
        <w:t>投标人因违法经营受到刑事处罚或者责令停产停业、吊销许可证或者执照、较大数额罚款等行政处罚）</w:t>
      </w:r>
      <w:r>
        <w:rPr>
          <w:rFonts w:hint="eastAsia" w:ascii="仿宋" w:hAnsi="仿宋" w:eastAsia="仿宋"/>
          <w:sz w:val="24"/>
          <w:highlight w:val="none"/>
        </w:rPr>
        <w:t>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2、没有行贿犯罪记录（查询内容：①投标人</w:t>
      </w:r>
      <w:r>
        <w:rPr>
          <w:rFonts w:hint="eastAsia" w:ascii="仿宋" w:hAnsi="仿宋" w:eastAsia="仿宋"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4"/>
          <w:highlight w:val="none"/>
        </w:rPr>
        <w:t>、组织机构代码证或统一社会信用代码</w:t>
      </w:r>
      <w:r>
        <w:rPr>
          <w:rFonts w:hint="eastAsia" w:ascii="仿宋" w:hAnsi="仿宋" w:eastAsia="仿宋"/>
          <w:sz w:val="24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highlight w:val="none"/>
        </w:rPr>
        <w:t>；②法定代表人</w:t>
      </w:r>
      <w:r>
        <w:rPr>
          <w:rFonts w:hint="eastAsia" w:ascii="仿宋" w:hAnsi="仿宋" w:eastAsia="仿宋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4"/>
          <w:highlight w:val="none"/>
        </w:rPr>
        <w:t>、身份证号码</w:t>
      </w:r>
      <w:r>
        <w:rPr>
          <w:rFonts w:hint="eastAsia" w:ascii="仿宋" w:hAnsi="仿宋" w:eastAsia="仿宋"/>
          <w:sz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24"/>
          <w:highlight w:val="none"/>
        </w:rPr>
        <w:t>；③项目负责人</w:t>
      </w:r>
      <w:r>
        <w:rPr>
          <w:rFonts w:hint="eastAsia" w:ascii="仿宋" w:hAnsi="仿宋" w:eastAsia="仿宋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4"/>
          <w:highlight w:val="none"/>
        </w:rPr>
        <w:t>、身份证号码</w:t>
      </w:r>
      <w:r>
        <w:rPr>
          <w:rFonts w:hint="eastAsia" w:ascii="仿宋" w:hAnsi="仿宋" w:eastAsia="仿宋"/>
          <w:sz w:val="24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highlight w:val="none"/>
        </w:rPr>
        <w:t>）。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以上承诺若与实际情况不符，我方自愿承担一切法律后果</w:t>
      </w: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投标人名称：(公章）</w:t>
      </w:r>
    </w:p>
    <w:p>
      <w:pPr>
        <w:spacing w:line="400" w:lineRule="exact"/>
        <w:ind w:firstLine="4080" w:firstLineChars="1700"/>
        <w:rPr>
          <w:rFonts w:ascii="仿宋" w:hAnsi="仿宋" w:eastAsia="仿宋"/>
          <w:kern w:val="1"/>
          <w:sz w:val="24"/>
          <w:highlight w:val="none"/>
        </w:rPr>
      </w:pPr>
    </w:p>
    <w:p>
      <w:pPr>
        <w:spacing w:line="400" w:lineRule="exact"/>
        <w:ind w:firstLine="4108" w:firstLineChars="1712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日      期：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highlight w:val="none"/>
        </w:rPr>
        <w:t>年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highlight w:val="none"/>
        </w:rPr>
        <w:t>月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highlight w:val="none"/>
        </w:rPr>
        <w:t>日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备注：1.投标人没有被公开披露或查处违法违规行为的，注明“无”即可。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 xml:space="preserve">      2.采购文件未要求项目负责人的，项目负责人一栏可删除。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方正小标宋_GBK" w:hAnsi="Times New Roman" w:eastAsia="方正小标宋_GBK" w:cs="宋体"/>
          <w:sz w:val="32"/>
          <w:szCs w:val="36"/>
          <w:highlight w:val="none"/>
          <w:lang w:val="en-US" w:eastAsia="zh-CN"/>
        </w:rPr>
        <w:t>广博路群众文体中心保洁服务</w:t>
      </w:r>
      <w:r>
        <w:rPr>
          <w:rFonts w:hint="eastAsia" w:ascii="方正小标宋_GBK" w:hAnsi="Times New Roman" w:eastAsia="方正小标宋_GBK" w:cs="宋体"/>
          <w:sz w:val="32"/>
          <w:szCs w:val="36"/>
          <w:highlight w:val="none"/>
        </w:rPr>
        <w:t>项目</w:t>
      </w:r>
      <w:r>
        <w:rPr>
          <w:rFonts w:hint="eastAsia" w:ascii="方正小标宋_GBK" w:hAnsi="Times New Roman" w:eastAsia="方正小标宋_GBK" w:cs="宋体"/>
          <w:sz w:val="32"/>
          <w:szCs w:val="36"/>
          <w:highlight w:val="none"/>
          <w:lang w:val="en-US" w:eastAsia="zh-CN"/>
        </w:rPr>
        <w:t>报价单</w:t>
      </w:r>
    </w:p>
    <w:tbl>
      <w:tblPr>
        <w:tblStyle w:val="7"/>
        <w:tblW w:w="9935" w:type="dxa"/>
        <w:tblInd w:w="-4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7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品  名/服  务</w:t>
            </w:r>
          </w:p>
        </w:tc>
        <w:tc>
          <w:tcPr>
            <w:tcW w:w="7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配置/品牌/型号/服务需求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广博路群众文体中心保洁服务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1.服务方配置不少于2名保洁人员，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保证工作人员身体健康，有能力适应工作要求，没有刑事犯罪记录，年龄比例合理,保密意识强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，保洁人员统一着装上岗。工作时间为周一至周日7:30-20:30。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7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2.保洁要求：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气膜馆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(1)每日8:00前，完成9片羽毛球场地清洁工作，要求在场馆营业前羽毛球场地无水渍，场地休息长条凳无杂物。13:30公益开放时段结束后，需对羽毛球场地再次完成一次清洁。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(2)每日15:00前需完成对3片篮球场地清洁工作，用半干拖布清洁地板，要求清洁过后地板无明显水渍、灰尘，场地休息长条凳及场地周边无杂物。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(3)每日需完成一次健身区域清洁工作，擦拭器械表面汗渍、灰尘，清洁地面灰尘，用干净消毒抹布清洁瑜伽垫及训练座椅，清洁男、女更衣室。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(4)每隔2小时对气膜场馆以上区域进行一次卫生巡检工作，及时清理羽毛球场、篮球场垃圾桶及场地水渍、汗渍等其他垃圾，并填写巡检记录表。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钢结构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(1)每日8:30前，完成一层、二层公共卫生间清洁工作，要求室内无异味、地面无水渍、及时清理垃圾桶。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(2)每日9:00前，完成二层走廊的卫生清洁，要求地面无水渍、杂物。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(3)每日10:00前，完成一层大厅、走廊卫生清洁工作，要求地面无水渍、杂物。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(4)每日10:30前，完成对一层男、女更衣室清洁工作，要求室内无异味、无杂物。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(5)每隔2小时对钢结构以上区域进行一次卫生巡检工作，并填写巡检记录表。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(6)每周对场馆入口玻璃门、旋转门完成2次清洁。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(1)每日对停车场环境情况进行巡检，及时清理停车位、绿化带垃圾，保持卫生干净整洁。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(2)每年进行2次园区内绿化带杂草清除工作。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所有卫生器具、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保洁耗材、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消杀消毒的耗材均由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服务方自行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随时配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合场馆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临时加班及各种活动(如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各级部门的迎检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、节假日、重要活动等)，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周末以及法定节假日原则上不休息，正常轮休，碰到迎检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全员上岗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完成相关的物业活动。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5.在各级检查中，如果因为保洁的失误造成的扣分考核，由保洁公司自行承担或者从合同总额中扣除。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6.按照双方约定的卫生标准，接受市场方的日常考核，罚金及时缴纳或者从合同总额中扣除。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/>
              </w:rPr>
              <w:t>服务费合计</w:t>
            </w:r>
          </w:p>
        </w:tc>
        <w:tc>
          <w:tcPr>
            <w:tcW w:w="7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i w:val="0"/>
                <w:iCs w:val="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小写：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4990B"/>
    <w:multiLevelType w:val="singleLevel"/>
    <w:tmpl w:val="805499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6F4511"/>
    <w:multiLevelType w:val="singleLevel"/>
    <w:tmpl w:val="A96F4511"/>
    <w:lvl w:ilvl="0" w:tentative="0">
      <w:start w:val="1"/>
      <w:numFmt w:val="decimal"/>
      <w:lvlText w:val="%1)"/>
      <w:lvlJc w:val="left"/>
      <w:pPr>
        <w:ind w:left="1055" w:hanging="425"/>
      </w:pPr>
      <w:rPr>
        <w:rFonts w:hint="default"/>
      </w:rPr>
    </w:lvl>
  </w:abstractNum>
  <w:abstractNum w:abstractNumId="2">
    <w:nsid w:val="49A0F601"/>
    <w:multiLevelType w:val="singleLevel"/>
    <w:tmpl w:val="49A0F6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E474BEB"/>
    <w:multiLevelType w:val="multilevel"/>
    <w:tmpl w:val="4E474BEB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6C3DAA"/>
    <w:rsid w:val="00012E22"/>
    <w:rsid w:val="00110210"/>
    <w:rsid w:val="001106EF"/>
    <w:rsid w:val="00126966"/>
    <w:rsid w:val="001645F4"/>
    <w:rsid w:val="001E12EC"/>
    <w:rsid w:val="002B4E76"/>
    <w:rsid w:val="002C7B61"/>
    <w:rsid w:val="002F0719"/>
    <w:rsid w:val="0032248E"/>
    <w:rsid w:val="003276FD"/>
    <w:rsid w:val="003302C6"/>
    <w:rsid w:val="003C3CE0"/>
    <w:rsid w:val="003E7257"/>
    <w:rsid w:val="004161D4"/>
    <w:rsid w:val="0042460F"/>
    <w:rsid w:val="0042708B"/>
    <w:rsid w:val="00486884"/>
    <w:rsid w:val="00490344"/>
    <w:rsid w:val="004C255A"/>
    <w:rsid w:val="00510DAE"/>
    <w:rsid w:val="00527420"/>
    <w:rsid w:val="00575266"/>
    <w:rsid w:val="0058071E"/>
    <w:rsid w:val="005B2971"/>
    <w:rsid w:val="005F25A1"/>
    <w:rsid w:val="0060049F"/>
    <w:rsid w:val="006060B2"/>
    <w:rsid w:val="00617648"/>
    <w:rsid w:val="00623AE3"/>
    <w:rsid w:val="00643D0F"/>
    <w:rsid w:val="0065106F"/>
    <w:rsid w:val="0065282A"/>
    <w:rsid w:val="00685CC3"/>
    <w:rsid w:val="006A5110"/>
    <w:rsid w:val="006C3DAA"/>
    <w:rsid w:val="006C7AE3"/>
    <w:rsid w:val="007613C2"/>
    <w:rsid w:val="00764CA2"/>
    <w:rsid w:val="007F5B12"/>
    <w:rsid w:val="00816961"/>
    <w:rsid w:val="008346AB"/>
    <w:rsid w:val="00844993"/>
    <w:rsid w:val="008B019B"/>
    <w:rsid w:val="008B1A29"/>
    <w:rsid w:val="008E7032"/>
    <w:rsid w:val="00913A28"/>
    <w:rsid w:val="00916ABC"/>
    <w:rsid w:val="009320E2"/>
    <w:rsid w:val="00971F8B"/>
    <w:rsid w:val="00A43F45"/>
    <w:rsid w:val="00A670DF"/>
    <w:rsid w:val="00A73AD5"/>
    <w:rsid w:val="00A84C0F"/>
    <w:rsid w:val="00AA7187"/>
    <w:rsid w:val="00AB533A"/>
    <w:rsid w:val="00AE3A2A"/>
    <w:rsid w:val="00AE4E65"/>
    <w:rsid w:val="00B12193"/>
    <w:rsid w:val="00B26E39"/>
    <w:rsid w:val="00B326CE"/>
    <w:rsid w:val="00BE0472"/>
    <w:rsid w:val="00C1269D"/>
    <w:rsid w:val="00C501ED"/>
    <w:rsid w:val="00C801A5"/>
    <w:rsid w:val="00CA6784"/>
    <w:rsid w:val="00CB3B9A"/>
    <w:rsid w:val="00CC2AE8"/>
    <w:rsid w:val="00DE1AD5"/>
    <w:rsid w:val="00E144C0"/>
    <w:rsid w:val="00E27CEE"/>
    <w:rsid w:val="00E452BA"/>
    <w:rsid w:val="00E876DD"/>
    <w:rsid w:val="00EA6E54"/>
    <w:rsid w:val="00EB0CE6"/>
    <w:rsid w:val="00EC458B"/>
    <w:rsid w:val="00ED674B"/>
    <w:rsid w:val="00EF67EA"/>
    <w:rsid w:val="00F17073"/>
    <w:rsid w:val="00F24509"/>
    <w:rsid w:val="00FD0811"/>
    <w:rsid w:val="00FD3663"/>
    <w:rsid w:val="03EC4AD0"/>
    <w:rsid w:val="045F36F2"/>
    <w:rsid w:val="047D4888"/>
    <w:rsid w:val="088C525F"/>
    <w:rsid w:val="0A4C1360"/>
    <w:rsid w:val="0D683166"/>
    <w:rsid w:val="10C26C88"/>
    <w:rsid w:val="1274394F"/>
    <w:rsid w:val="14546CE7"/>
    <w:rsid w:val="14C502FC"/>
    <w:rsid w:val="17D92E60"/>
    <w:rsid w:val="199737C8"/>
    <w:rsid w:val="19CA098E"/>
    <w:rsid w:val="1A1F2695"/>
    <w:rsid w:val="1D962FA8"/>
    <w:rsid w:val="1E681DFF"/>
    <w:rsid w:val="217B0B57"/>
    <w:rsid w:val="24355760"/>
    <w:rsid w:val="26553A87"/>
    <w:rsid w:val="2CFC5020"/>
    <w:rsid w:val="35EF2243"/>
    <w:rsid w:val="37335AE2"/>
    <w:rsid w:val="379232E3"/>
    <w:rsid w:val="38921EC0"/>
    <w:rsid w:val="38FB4317"/>
    <w:rsid w:val="3AC76C6D"/>
    <w:rsid w:val="3C3F6C65"/>
    <w:rsid w:val="42662B1D"/>
    <w:rsid w:val="45FC138A"/>
    <w:rsid w:val="4C9217A8"/>
    <w:rsid w:val="4FB068BC"/>
    <w:rsid w:val="53ED1090"/>
    <w:rsid w:val="56A200D6"/>
    <w:rsid w:val="570B22BE"/>
    <w:rsid w:val="5A09149C"/>
    <w:rsid w:val="5C6A30BF"/>
    <w:rsid w:val="5C7B62C0"/>
    <w:rsid w:val="5DA36C6E"/>
    <w:rsid w:val="625C03DC"/>
    <w:rsid w:val="68873690"/>
    <w:rsid w:val="6AC8362B"/>
    <w:rsid w:val="6C844FA5"/>
    <w:rsid w:val="6D6A015B"/>
    <w:rsid w:val="6E144526"/>
    <w:rsid w:val="6EE963F7"/>
    <w:rsid w:val="6FC43D1C"/>
    <w:rsid w:val="72181581"/>
    <w:rsid w:val="75CB4D43"/>
    <w:rsid w:val="75D73501"/>
    <w:rsid w:val="76A85743"/>
    <w:rsid w:val="76B37ACA"/>
    <w:rsid w:val="7E31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宋体"/>
      <w:sz w:val="24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纯文本 字符"/>
    <w:link w:val="2"/>
    <w:qFormat/>
    <w:uiPriority w:val="0"/>
    <w:rPr>
      <w:rFonts w:ascii="宋体" w:hAnsi="Courier New" w:eastAsia="宋体" w:cs="宋体"/>
      <w:sz w:val="24"/>
    </w:rPr>
  </w:style>
  <w:style w:type="character" w:customStyle="1" w:styleId="16">
    <w:name w:val="纯文本 Char1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正文1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3463</Words>
  <Characters>3689</Characters>
  <Lines>8</Lines>
  <Paragraphs>2</Paragraphs>
  <TotalTime>107</TotalTime>
  <ScaleCrop>false</ScaleCrop>
  <LinksUpToDate>false</LinksUpToDate>
  <CharactersWithSpaces>4112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2022-11-06T11:45:00Z</dcterms:created>
  <dc:creator>fanggsyyglb</dc:creator>
  <cp:lastModifiedBy>陌上&amp;花开</cp:lastModifiedBy>
  <cp:lastPrinted>2023-09-21T05:34:35Z</cp:lastPrinted>
  <dcterms:modified xsi:type="dcterms:W3CDTF">2023-09-21T07:15:27Z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2EF3696FAEE846DE907D29052F2031C2_13</vt:lpwstr>
  </property>
</Properties>
</file>