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Lines="50" w:line="560" w:lineRule="exact"/>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highlight w:val="none"/>
        </w:rPr>
        <w:t>采购</w:t>
      </w:r>
      <w:r>
        <w:rPr>
          <w:rFonts w:hint="eastAsia" w:ascii="方正小标宋_GBK" w:hAnsi="方正小标宋_GBK" w:eastAsia="方正小标宋_GBK" w:cs="方正小标宋_GBK"/>
          <w:sz w:val="36"/>
          <w:szCs w:val="36"/>
          <w:highlight w:val="none"/>
        </w:rPr>
        <w:t>公告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24"/>
          <w:highlight w:val="none"/>
        </w:rPr>
      </w:pPr>
      <w:r>
        <w:rPr>
          <w:rFonts w:hint="eastAsia" w:ascii="仿宋_GB2312" w:hAnsi="仿宋_GB2312" w:cs="仿宋_GB2312"/>
          <w:szCs w:val="30"/>
          <w:highlight w:val="none"/>
        </w:rPr>
        <w:t>青岛高新实业集团有限公司现对</w:t>
      </w:r>
      <w:r>
        <w:rPr>
          <w:rFonts w:hint="eastAsia" w:ascii="仿宋_GB2312" w:hAnsi="仿宋_GB2312" w:cs="仿宋_GB2312"/>
          <w:szCs w:val="30"/>
          <w:highlight w:val="none"/>
          <w:lang w:eastAsia="zh-CN"/>
        </w:rPr>
        <w:t>2024年度夏季工作服集中采购</w:t>
      </w:r>
      <w:r>
        <w:rPr>
          <w:rFonts w:hint="eastAsia" w:ascii="仿宋_GB2312" w:hAnsi="仿宋_GB2312" w:cs="仿宋_GB2312"/>
          <w:szCs w:val="30"/>
          <w:highlight w:val="none"/>
        </w:rPr>
        <w:t>项目</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三次</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rPr>
        <w:t>进行询价，具体要求如下：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Cs w:val="30"/>
          <w:highlight w:val="none"/>
          <w:lang w:eastAsia="zh-CN"/>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2024年度</w:t>
      </w:r>
      <w:r>
        <w:rPr>
          <w:rFonts w:hint="eastAsia" w:ascii="仿宋_GB2312" w:hAnsi="仿宋_GB2312" w:cs="仿宋_GB2312"/>
          <w:color w:val="000000"/>
          <w:szCs w:val="30"/>
          <w:highlight w:val="none"/>
          <w:lang w:val="en-US" w:eastAsia="zh-CN"/>
        </w:rPr>
        <w:t>夏季</w:t>
      </w:r>
      <w:r>
        <w:rPr>
          <w:rFonts w:hint="eastAsia" w:ascii="仿宋_GB2312" w:hAnsi="仿宋_GB2312" w:cs="仿宋_GB2312"/>
          <w:color w:val="000000"/>
          <w:szCs w:val="30"/>
          <w:highlight w:val="none"/>
        </w:rPr>
        <w:t>工作服集中采购</w:t>
      </w:r>
      <w:r>
        <w:rPr>
          <w:rFonts w:hint="eastAsia" w:ascii="仿宋_GB2312" w:hAnsi="仿宋_GB2312" w:cs="仿宋_GB2312"/>
          <w:szCs w:val="30"/>
          <w:highlight w:val="none"/>
        </w:rPr>
        <w:t>项目</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三次</w:t>
      </w:r>
      <w:r>
        <w:rPr>
          <w:rFonts w:hint="eastAsia" w:ascii="仿宋_GB2312" w:hAnsi="仿宋_GB2312" w:cs="仿宋_GB231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2.使用地点：高实集团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5.发票类别：增值税专用发票</w:t>
      </w:r>
    </w:p>
    <w:p>
      <w:pPr>
        <w:keepNext w:val="0"/>
        <w:keepLines w:val="0"/>
        <w:pageBreakBefore w:val="0"/>
        <w:widowControl w:val="0"/>
        <w:kinsoku/>
        <w:wordWrap/>
        <w:overflowPunct/>
        <w:topLinePunct w:val="0"/>
        <w:autoSpaceDE/>
        <w:autoSpaceDN/>
        <w:bidi w:val="0"/>
        <w:adjustRightInd/>
        <w:snapToGrid/>
        <w:spacing w:line="560" w:lineRule="exact"/>
        <w:ind w:left="2400" w:leftChars="200" w:hanging="1800" w:hangingChars="6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6</w:t>
      </w:r>
      <w:r>
        <w:rPr>
          <w:rFonts w:ascii="仿宋_GB2312" w:hAnsi="仿宋_GB2312" w:cs="仿宋_GB2312"/>
          <w:color w:val="000000"/>
          <w:kern w:val="0"/>
          <w:szCs w:val="30"/>
          <w:highlight w:val="none"/>
        </w:rPr>
        <w:t>.</w:t>
      </w:r>
      <w:r>
        <w:rPr>
          <w:rFonts w:hint="eastAsia" w:ascii="仿宋_GB2312" w:hAnsi="仿宋_GB2312" w:cs="仿宋_GB2312"/>
          <w:color w:val="000000"/>
          <w:kern w:val="0"/>
          <w:szCs w:val="30"/>
          <w:highlight w:val="none"/>
        </w:rPr>
        <w:t>付款期限：本合同生效后，每笔供货在经甲方验收合格及乙方开具符合国家规定的发票并交付甲方后，由甲方向乙方支付。以和各单位签订的合同为准。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二、采购控制价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1.本项目控制总价为</w:t>
      </w:r>
      <w:r>
        <w:rPr>
          <w:rFonts w:hint="eastAsia" w:ascii="仿宋_GB2312" w:hAnsi="仿宋_GB2312" w:cs="仿宋_GB2312"/>
          <w:szCs w:val="30"/>
          <w:highlight w:val="none"/>
        </w:rPr>
        <w:t>165424.3</w:t>
      </w:r>
      <w:r>
        <w:rPr>
          <w:rFonts w:hint="eastAsia" w:ascii="仿宋_GB2312" w:hAnsi="仿宋_GB2312" w:cs="仿宋_GB2312"/>
          <w:szCs w:val="30"/>
          <w:highlight w:val="none"/>
          <w:lang w:val="en-US" w:eastAsia="zh-CN"/>
        </w:rPr>
        <w:t>5元（含税），</w:t>
      </w:r>
      <w:r>
        <w:rPr>
          <w:rFonts w:hint="eastAsia" w:ascii="仿宋_GB2312" w:hAnsi="仿宋_GB2312" w:cs="仿宋_GB2312"/>
          <w:szCs w:val="30"/>
          <w:highlight w:val="none"/>
        </w:rPr>
        <w:t>详见采购清单</w:t>
      </w:r>
      <w:r>
        <w:rPr>
          <w:rFonts w:hint="eastAsia" w:ascii="仿宋_GB2312" w:hAnsi="仿宋_GB2312" w:cs="仿宋_GB2312"/>
          <w:szCs w:val="30"/>
          <w:highlight w:val="none"/>
          <w:lang w:val="en-US" w:eastAsia="zh-CN"/>
        </w:rPr>
        <w:t>及附件。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2.报价方式：</w:t>
      </w:r>
      <w:r>
        <w:rPr>
          <w:rFonts w:hint="default" w:ascii="仿宋_GB2312" w:hAnsi="仿宋_GB2312" w:cs="仿宋_GB2312"/>
          <w:szCs w:val="30"/>
          <w:highlight w:val="none"/>
          <w:lang w:val="en-US" w:eastAsia="zh-CN"/>
        </w:rPr>
        <w:t>投标单位不少于3家，实行三轮报价，采用不含税总价最低价中标，确定1个成交供应商</w:t>
      </w:r>
      <w:r>
        <w:rPr>
          <w:rFonts w:hint="eastAsia" w:ascii="仿宋_GB2312" w:hAnsi="仿宋_GB2312" w:cs="仿宋_GB2312"/>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cs="仿宋_GB2312"/>
          <w:szCs w:val="30"/>
          <w:highlight w:val="none"/>
          <w:lang w:val="en-US" w:eastAsia="zh-CN"/>
        </w:rPr>
      </w:pPr>
      <w:r>
        <w:rPr>
          <w:rFonts w:hint="default" w:ascii="仿宋_GB2312" w:hAnsi="仿宋_GB2312" w:cs="仿宋_GB2312"/>
          <w:szCs w:val="30"/>
          <w:highlight w:val="none"/>
          <w:lang w:val="en-US" w:eastAsia="zh-CN"/>
        </w:rPr>
        <w:t>第一轮报价结束后按照不含税总价由高到低淘汰1/3（取整），淘汰不含税总价最高的参与单位。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cs="仿宋_GB2312"/>
          <w:szCs w:val="30"/>
          <w:highlight w:val="none"/>
          <w:lang w:val="en-US" w:eastAsia="zh-CN"/>
        </w:rPr>
      </w:pPr>
      <w:r>
        <w:rPr>
          <w:rFonts w:hint="default" w:ascii="仿宋_GB2312" w:hAnsi="仿宋_GB2312" w:cs="仿宋_GB2312"/>
          <w:szCs w:val="30"/>
          <w:highlight w:val="none"/>
          <w:lang w:val="en-US" w:eastAsia="zh-CN"/>
        </w:rPr>
        <w:t>第二轮以投标单位上一轮不含税总价最低值做控制价，参与报价单位在此控制价基础上自主下浮，报价结束后按照不含税报价总价由高到低淘汰1/3（取整）。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cs="仿宋_GB2312"/>
          <w:szCs w:val="30"/>
          <w:highlight w:val="none"/>
          <w:lang w:val="en-US" w:eastAsia="zh-CN"/>
        </w:rPr>
      </w:pPr>
      <w:bookmarkStart w:id="4" w:name="_GoBack"/>
      <w:bookmarkEnd w:id="4"/>
      <w:r>
        <w:rPr>
          <w:rFonts w:hint="default" w:ascii="仿宋_GB2312" w:hAnsi="仿宋_GB2312" w:cs="仿宋_GB2312"/>
          <w:szCs w:val="30"/>
          <w:highlight w:val="none"/>
          <w:lang w:val="en-US" w:eastAsia="zh-CN"/>
        </w:rPr>
        <w:t>第三轮以投标单位上一轮不含税总价最低值做控制价，参与报价单位在此控制价基础上自主下浮。第三轮按照第二轮各单位的不含税报价总价由高到低依次进行竞谈，最终通过竞争性谈判确定1家成交供应商。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cs="仿宋_GB2312"/>
          <w:szCs w:val="30"/>
          <w:highlight w:val="none"/>
          <w:lang w:val="en-US" w:eastAsia="zh-CN"/>
        </w:rPr>
      </w:pPr>
      <w:r>
        <w:rPr>
          <w:rFonts w:hint="default" w:ascii="仿宋_GB2312" w:hAnsi="仿宋_GB2312" w:cs="仿宋_GB2312"/>
          <w:szCs w:val="30"/>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cs="仿宋_GB2312"/>
          <w:szCs w:val="30"/>
          <w:highlight w:val="none"/>
          <w:lang w:val="en-US" w:eastAsia="zh-CN"/>
        </w:rPr>
      </w:pPr>
      <w:r>
        <w:rPr>
          <w:rFonts w:hint="default" w:ascii="仿宋_GB2312" w:hAnsi="仿宋_GB2312" w:cs="仿宋_GB2312"/>
          <w:szCs w:val="30"/>
          <w:highlight w:val="none"/>
          <w:lang w:val="en-US" w:eastAsia="zh-CN"/>
        </w:rPr>
        <w:t>1.投标报价（即开标报价）不得有选择性报价和附有条件的报价，且各项单价及总价均不得高于控制价。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szCs w:val="30"/>
          <w:highlight w:val="none"/>
        </w:rPr>
      </w:pPr>
      <w:r>
        <w:rPr>
          <w:rFonts w:hint="default" w:ascii="仿宋_GB2312" w:hAnsi="仿宋_GB2312" w:cs="仿宋_GB2312"/>
          <w:szCs w:val="30"/>
          <w:highlight w:val="none"/>
          <w:lang w:val="en-US" w:eastAsia="zh-CN"/>
        </w:rPr>
        <w:t>2.第二轮第三轮报价为总价，按照最终投标总报价与第一轮投标总报价之间计算出的下浮百分比，各项单价同比例下浮。下浮百分比=（第一轮报价-最终报价）/第一轮报价×100%。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000000"/>
          <w:kern w:val="0"/>
          <w:szCs w:val="30"/>
          <w:highlight w:val="none"/>
          <w:lang w:eastAsia="zh-CN"/>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r>
        <w:rPr>
          <w:rFonts w:hint="eastAsia" w:ascii="仿宋_GB2312" w:hAnsi="仿宋_GB2312" w:cs="仿宋_GB2312"/>
          <w:color w:val="000000"/>
          <w:kern w:val="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cs="仿宋_GB2312"/>
          <w:color w:val="FF0000"/>
          <w:kern w:val="0"/>
          <w:szCs w:val="30"/>
          <w:highlight w:val="none"/>
          <w:lang w:val="en-US" w:eastAsia="zh-CN"/>
        </w:rPr>
      </w:pPr>
      <w:r>
        <w:rPr>
          <w:rFonts w:hint="eastAsia" w:ascii="仿宋_GB2312" w:hAnsi="仿宋_GB2312" w:cs="仿宋_GB2312"/>
          <w:color w:val="auto"/>
          <w:kern w:val="0"/>
          <w:szCs w:val="30"/>
          <w:highlight w:val="none"/>
          <w:lang w:val="en-US" w:eastAsia="zh-CN"/>
        </w:rPr>
        <w:t>4.所投工作服类产品需提供产品合格证并清晰注明成分比例，其中防静电类工作服还需提供防静电检测报告。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eastAsia="黑体" w:cs="宋体"/>
          <w:sz w:val="24"/>
          <w:highlight w:val="none"/>
        </w:rPr>
      </w:pPr>
      <w:r>
        <w:rPr>
          <w:rFonts w:hint="eastAsia" w:ascii="黑体" w:hAnsi="黑体" w:eastAsia="黑体" w:cs="黑体"/>
          <w:szCs w:val="30"/>
          <w:highlight w:val="none"/>
        </w:rPr>
        <w:t>四、项目勘察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各拟报名单位需在规定时间内分别联系该项目所涉及的高新电力、高新城维、东风海玉、高新能源、海玉建设、高实油气、燧石体育、智能科技等企业进行现场勘察，知悉本项目所需工作服的规格、款式、材质、尺寸、付款方式等必要信息，并填写《项目勘察承诺书》（见附件）。（</w:t>
      </w:r>
      <w:r>
        <w:rPr>
          <w:rFonts w:hint="eastAsia" w:ascii="仿宋_GB2312" w:hAnsi="仿宋_GB2312" w:cs="仿宋_GB2312"/>
          <w:b/>
          <w:bCs/>
          <w:szCs w:val="30"/>
          <w:highlight w:val="none"/>
        </w:rPr>
        <w:t>如缺少该步骤及材料，视为不响应该项目，不得参加该项目后续事项</w:t>
      </w:r>
      <w:r>
        <w:rPr>
          <w:rFonts w:hint="eastAsia" w:ascii="仿宋_GB2312" w:hAnsi="仿宋_GB2312" w:cs="仿宋_GB2312"/>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w:t>
      </w:r>
      <w:r>
        <w:rPr>
          <w:rFonts w:hint="eastAsia" w:ascii="仿宋_GB2312" w:hAnsi="仿宋_GB2312" w:cs="仿宋_GB2312"/>
          <w:szCs w:val="30"/>
          <w:highlight w:val="none"/>
          <w:lang w:val="en-US" w:eastAsia="zh-CN"/>
        </w:rPr>
        <w:t>项目勘察截止时间</w:t>
      </w:r>
      <w:r>
        <w:rPr>
          <w:rFonts w:hint="eastAsia" w:ascii="仿宋_GB2312" w:hAnsi="仿宋_GB2312" w:cs="仿宋_GB2312"/>
          <w:szCs w:val="30"/>
          <w:highlight w:val="none"/>
        </w:rPr>
        <w:t>：</w:t>
      </w:r>
      <w:r>
        <w:rPr>
          <w:rFonts w:hint="eastAsia" w:ascii="仿宋_GB2312" w:hAnsi="仿宋_GB2312" w:cs="仿宋_GB2312"/>
          <w:szCs w:val="30"/>
          <w:highlight w:val="none"/>
          <w:lang w:val="en-US" w:eastAsia="zh-CN"/>
        </w:rPr>
        <w:t>2024年6月3日16时00分</w:t>
      </w:r>
      <w:r>
        <w:rPr>
          <w:rFonts w:hint="eastAsia" w:ascii="仿宋_GB2312" w:hAnsi="仿宋_GB2312" w:cs="仿宋_GB2312"/>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3.项目勘察联系人：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高新城维公司：曲经理  15966833705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color w:val="auto"/>
          <w:szCs w:val="30"/>
          <w:highlight w:val="none"/>
        </w:rPr>
      </w:pPr>
      <w:r>
        <w:rPr>
          <w:rFonts w:hint="eastAsia" w:ascii="仿宋_GB2312" w:hAnsi="仿宋_GB2312" w:cs="仿宋_GB2312"/>
          <w:color w:val="auto"/>
          <w:szCs w:val="30"/>
          <w:highlight w:val="none"/>
        </w:rPr>
        <w:t>海玉建设公司：刘经理  15966823413</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高新电力公司：陈经理  15192098851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高新能源公司：肖经理  13854282783</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高实油气公司：刘经理  15966823413</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燧石体育公司：苟经理  13969720534</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智能科技公司：孙经理  13361278947</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rPr>
        <w:t>五、资格审查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1.截止时间：2024年</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日1</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时00分。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2.预审方式：投标人将资格审查所需材料附在一个文档里，在截止时间前发送至邮箱</w:t>
      </w:r>
      <w:r>
        <w:rPr>
          <w:rFonts w:hint="eastAsia" w:ascii="仿宋_GB2312" w:hAnsi="仿宋_GB2312" w:cs="仿宋_GB2312"/>
          <w:szCs w:val="30"/>
          <w:highlight w:val="none"/>
          <w:lang w:val="en-US" w:eastAsia="zh-CN"/>
        </w:rPr>
        <w:t>qdgxsy@163.com</w:t>
      </w:r>
      <w:r>
        <w:rPr>
          <w:rFonts w:hint="eastAsia" w:ascii="仿宋_GB2312" w:hAnsi="仿宋_GB2312" w:cs="仿宋_GB2312"/>
          <w:szCs w:val="30"/>
          <w:highlight w:val="none"/>
        </w:rPr>
        <w:t>。邮件标题为投标人名称+项目名称，正文备注联系人、联系方式、招标文件接收邮箱地址，审批通过后，通过邮箱向投标人发放招标文件。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供应商、法定代表人无行贿犯罪记录查询网页截图；“信用中国”网站、中国政府采购网查询网页截图等资料；《项目勘察承诺书》；以上材料均需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lang w:val="en-US" w:eastAsia="zh-CN"/>
        </w:rPr>
        <w:t>六</w:t>
      </w:r>
      <w:r>
        <w:rPr>
          <w:rFonts w:hint="eastAsia" w:ascii="黑体" w:hAnsi="黑体" w:eastAsia="黑体" w:cs="黑体"/>
          <w:szCs w:val="30"/>
          <w:highlight w:val="none"/>
        </w:rPr>
        <w:t>、投标文件递交时间及地点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Cs w:val="30"/>
          <w:highlight w:val="none"/>
        </w:rPr>
      </w:pPr>
      <w:r>
        <w:rPr>
          <w:rFonts w:hint="eastAsia" w:ascii="黑体" w:hAnsi="黑体" w:eastAsia="黑体" w:cs="黑体"/>
          <w:szCs w:val="30"/>
          <w:highlight w:val="none"/>
          <w:lang w:val="en-US" w:eastAsia="zh-CN"/>
        </w:rPr>
        <w:t>七</w:t>
      </w:r>
      <w:r>
        <w:rPr>
          <w:rFonts w:hint="eastAsia" w:ascii="黑体" w:hAnsi="黑体" w:eastAsia="黑体" w:cs="黑体"/>
          <w:szCs w:val="30"/>
          <w:highlight w:val="none"/>
        </w:rPr>
        <w:t>、开标时间及地点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highlight w:val="none"/>
        </w:rPr>
      </w:pPr>
      <w:r>
        <w:rPr>
          <w:rFonts w:hint="eastAsia" w:ascii="黑体" w:hAnsi="黑体" w:eastAsia="黑体" w:cs="黑体"/>
          <w:szCs w:val="30"/>
          <w:highlight w:val="none"/>
          <w:lang w:val="en-US" w:eastAsia="zh-CN"/>
        </w:rPr>
        <w:t>八</w:t>
      </w:r>
      <w:r>
        <w:rPr>
          <w:rFonts w:hint="eastAsia" w:ascii="黑体" w:hAnsi="黑体" w:eastAsia="黑体" w:cs="黑体"/>
          <w:szCs w:val="30"/>
          <w:highlight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1.采购人：青岛高新实业集团有限公司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2.联系人：</w:t>
      </w:r>
      <w:r>
        <w:rPr>
          <w:rFonts w:hint="eastAsia"/>
          <w:highlight w:val="none"/>
          <w:lang w:val="en-US" w:eastAsia="zh-CN"/>
        </w:rPr>
        <w:t>王工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3.电  话：</w:t>
      </w:r>
      <w:r>
        <w:rPr>
          <w:rFonts w:hint="eastAsia"/>
          <w:highlight w:val="none"/>
          <w:lang w:val="en-US" w:eastAsia="zh-CN"/>
        </w:rPr>
        <w:t>15092048318</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4.地  址：青岛高新区岙东路101号，高实集团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cs="宋体"/>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500" w:firstLineChars="1500"/>
        <w:textAlignment w:val="auto"/>
        <w:rPr>
          <w:rFonts w:ascii="仿宋_GB2312" w:hAnsi="仿宋_GB2312" w:cs="仿宋_GB2312"/>
          <w:szCs w:val="30"/>
          <w:highlight w:val="none"/>
        </w:rPr>
      </w:pPr>
      <w:r>
        <w:rPr>
          <w:rFonts w:hint="eastAsia" w:ascii="仿宋_GB2312" w:hAnsi="仿宋_GB2312" w:cs="仿宋_GB2312"/>
          <w:szCs w:val="30"/>
          <w:highlight w:val="none"/>
        </w:rPr>
        <w:t>青岛高新实业集团有限公司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5400" w:firstLineChars="1800"/>
        <w:textAlignment w:val="auto"/>
        <w:rPr>
          <w:rFonts w:ascii="仿宋_GB2312" w:hAnsi="仿宋_GB2312" w:cs="仿宋_GB2312"/>
          <w:szCs w:val="30"/>
          <w:highlight w:val="none"/>
        </w:rPr>
      </w:pPr>
      <w:r>
        <w:rPr>
          <w:rFonts w:hint="eastAsia" w:ascii="仿宋_GB2312" w:hAnsi="仿宋_GB2312" w:cs="仿宋_GB2312"/>
          <w:szCs w:val="30"/>
          <w:highlight w:val="none"/>
        </w:rPr>
        <w:t>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31</w:t>
      </w:r>
      <w:r>
        <w:rPr>
          <w:rFonts w:hint="eastAsia" w:ascii="仿宋_GB2312" w:hAnsi="仿宋_GB2312" w:cs="仿宋_GB2312"/>
          <w:szCs w:val="30"/>
          <w:highlight w:val="none"/>
        </w:rPr>
        <w:t>日</w:t>
      </w:r>
    </w:p>
    <w:p>
      <w:pPr>
        <w:spacing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供应商名称：</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单位性质：</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地址：</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成立时间：</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年</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月</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日</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经营期限：</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姓名： 性别： 年龄：职务：</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系 （投标人名称）的法定代表人。</w:t>
      </w:r>
    </w:p>
    <w:p>
      <w:pPr>
        <w:spacing w:line="360" w:lineRule="auto"/>
        <w:ind w:firstLine="560" w:firstLineChars="200"/>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特此证明。</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附：法定代表人身份证复印件。</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 xml:space="preserve">                       </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投标人：（公章）</w:t>
      </w:r>
    </w:p>
    <w:p>
      <w:pPr>
        <w:spacing w:line="360" w:lineRule="auto"/>
        <w:ind w:firstLine="4480" w:firstLineChars="1600"/>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年</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 xml:space="preserve">月 </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 xml:space="preserve">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（姓名）</w:t>
      </w:r>
      <w:r>
        <w:rPr>
          <w:rStyle w:val="30"/>
          <w:rFonts w:hint="eastAsia" w:ascii="仿宋_GB2312" w:hAnsi="仿宋_GB2312" w:eastAsia="仿宋_GB2312" w:cs="仿宋_GB2312"/>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Style w:val="30"/>
          <w:rFonts w:hint="eastAsia" w:ascii="仿宋_GB2312" w:hAnsi="仿宋_GB2312" w:cs="仿宋_GB2312"/>
          <w:sz w:val="28"/>
          <w:szCs w:val="28"/>
          <w:highlight w:val="none"/>
          <w:u w:val="single"/>
          <w:lang w:val="en-US" w:eastAsia="zh-CN"/>
        </w:rPr>
        <w:t xml:space="preserve">    </w:t>
      </w:r>
      <w:r>
        <w:rPr>
          <w:rStyle w:val="30"/>
          <w:rFonts w:hint="eastAsia" w:ascii="仿宋_GB2312" w:hAnsi="仿宋_GB2312" w:eastAsia="仿宋_GB2312" w:cs="仿宋_GB2312"/>
          <w:sz w:val="28"/>
          <w:szCs w:val="28"/>
          <w:highlight w:val="none"/>
        </w:rPr>
        <w:t>年</w:t>
      </w:r>
      <w:r>
        <w:rPr>
          <w:rStyle w:val="30"/>
          <w:rFonts w:hint="eastAsia" w:ascii="仿宋_GB2312" w:hAnsi="仿宋_GB2312" w:cs="仿宋_GB2312"/>
          <w:sz w:val="28"/>
          <w:szCs w:val="28"/>
          <w:highlight w:val="none"/>
          <w:u w:val="single"/>
          <w:lang w:val="en-US" w:eastAsia="zh-CN"/>
        </w:rPr>
        <w:t xml:space="preserve">   </w:t>
      </w:r>
      <w:r>
        <w:rPr>
          <w:rStyle w:val="30"/>
          <w:rFonts w:hint="eastAsia" w:ascii="仿宋_GB2312" w:hAnsi="仿宋_GB2312" w:eastAsia="仿宋_GB2312" w:cs="仿宋_GB2312"/>
          <w:sz w:val="28"/>
          <w:szCs w:val="28"/>
          <w:highlight w:val="none"/>
        </w:rPr>
        <w:t>月</w:t>
      </w:r>
      <w:r>
        <w:rPr>
          <w:rStyle w:val="30"/>
          <w:rFonts w:hint="eastAsia" w:ascii="仿宋_GB2312" w:hAnsi="仿宋_GB2312" w:cs="仿宋_GB2312"/>
          <w:sz w:val="28"/>
          <w:szCs w:val="28"/>
          <w:highlight w:val="none"/>
          <w:u w:val="single"/>
          <w:lang w:val="en-US" w:eastAsia="zh-CN"/>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rPr>
          <w:highlight w:val="none"/>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 w:name="KSO_WPS_MARK_KEY" w:val="8a15f30b-b29e-4d8e-8ae2-ddce2354dc0d"/>
  </w:docVars>
  <w:rsids>
    <w:rsidRoot w:val="00C24CE1"/>
    <w:rsid w:val="00000725"/>
    <w:rsid w:val="0000309D"/>
    <w:rsid w:val="00005A6C"/>
    <w:rsid w:val="00011964"/>
    <w:rsid w:val="00017546"/>
    <w:rsid w:val="00020B0F"/>
    <w:rsid w:val="00020EEC"/>
    <w:rsid w:val="00022BD9"/>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42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0D02"/>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0902"/>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1CFD"/>
    <w:rsid w:val="00322A31"/>
    <w:rsid w:val="00326CA2"/>
    <w:rsid w:val="00326D83"/>
    <w:rsid w:val="00334B3A"/>
    <w:rsid w:val="00335020"/>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3A1C"/>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26460"/>
    <w:rsid w:val="0052769D"/>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83A"/>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55B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3F3F"/>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ADC"/>
    <w:rsid w:val="00884CF5"/>
    <w:rsid w:val="00885F47"/>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17"/>
    <w:rsid w:val="00BB653B"/>
    <w:rsid w:val="00BB72BD"/>
    <w:rsid w:val="00BB7306"/>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77585"/>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3B6D"/>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1A35"/>
    <w:rsid w:val="00E0351C"/>
    <w:rsid w:val="00E038CE"/>
    <w:rsid w:val="00E046A1"/>
    <w:rsid w:val="00E062EB"/>
    <w:rsid w:val="00E06BE0"/>
    <w:rsid w:val="00E07476"/>
    <w:rsid w:val="00E076B8"/>
    <w:rsid w:val="00E1152C"/>
    <w:rsid w:val="00E1173A"/>
    <w:rsid w:val="00E12BD2"/>
    <w:rsid w:val="00E13B28"/>
    <w:rsid w:val="00E14327"/>
    <w:rsid w:val="00E172E5"/>
    <w:rsid w:val="00E20520"/>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791"/>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3FA9"/>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6435"/>
    <w:rsid w:val="00F8776C"/>
    <w:rsid w:val="00F920BE"/>
    <w:rsid w:val="00F95CE6"/>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7460A8"/>
    <w:rsid w:val="018667AE"/>
    <w:rsid w:val="01A61B7D"/>
    <w:rsid w:val="024B007B"/>
    <w:rsid w:val="03190CB5"/>
    <w:rsid w:val="03571ADF"/>
    <w:rsid w:val="043E26B1"/>
    <w:rsid w:val="045C32C8"/>
    <w:rsid w:val="049616D0"/>
    <w:rsid w:val="04DE2B66"/>
    <w:rsid w:val="05807104"/>
    <w:rsid w:val="05912686"/>
    <w:rsid w:val="05954ED0"/>
    <w:rsid w:val="05EA00DE"/>
    <w:rsid w:val="063534FF"/>
    <w:rsid w:val="063B7194"/>
    <w:rsid w:val="06DD262D"/>
    <w:rsid w:val="06FD3297"/>
    <w:rsid w:val="07A34FF1"/>
    <w:rsid w:val="086B4990"/>
    <w:rsid w:val="08A013DA"/>
    <w:rsid w:val="08B5322E"/>
    <w:rsid w:val="09055C21"/>
    <w:rsid w:val="09C35DE1"/>
    <w:rsid w:val="09CF5B05"/>
    <w:rsid w:val="09D50ABF"/>
    <w:rsid w:val="09E00A6F"/>
    <w:rsid w:val="0AAF4AB1"/>
    <w:rsid w:val="0C394176"/>
    <w:rsid w:val="0CF30CE6"/>
    <w:rsid w:val="0DC12675"/>
    <w:rsid w:val="0E5F6B1F"/>
    <w:rsid w:val="0E8536A2"/>
    <w:rsid w:val="0FA77178"/>
    <w:rsid w:val="101A3C75"/>
    <w:rsid w:val="105D0223"/>
    <w:rsid w:val="10B36C33"/>
    <w:rsid w:val="10C77FA2"/>
    <w:rsid w:val="10EC7C21"/>
    <w:rsid w:val="114607D2"/>
    <w:rsid w:val="11B60814"/>
    <w:rsid w:val="13256B7A"/>
    <w:rsid w:val="146D0E60"/>
    <w:rsid w:val="1550556C"/>
    <w:rsid w:val="159B33E0"/>
    <w:rsid w:val="15EE5FD1"/>
    <w:rsid w:val="16173BF0"/>
    <w:rsid w:val="162654C5"/>
    <w:rsid w:val="16314110"/>
    <w:rsid w:val="16504596"/>
    <w:rsid w:val="168B3820"/>
    <w:rsid w:val="174A03C5"/>
    <w:rsid w:val="178A0BC9"/>
    <w:rsid w:val="18061116"/>
    <w:rsid w:val="18062A9B"/>
    <w:rsid w:val="18513BAE"/>
    <w:rsid w:val="1885795F"/>
    <w:rsid w:val="18890233"/>
    <w:rsid w:val="19236DD7"/>
    <w:rsid w:val="199316F5"/>
    <w:rsid w:val="19A65009"/>
    <w:rsid w:val="19C07C84"/>
    <w:rsid w:val="1A613215"/>
    <w:rsid w:val="1AD7277C"/>
    <w:rsid w:val="1B0838DE"/>
    <w:rsid w:val="1B2851EA"/>
    <w:rsid w:val="1C231486"/>
    <w:rsid w:val="1CC22144"/>
    <w:rsid w:val="1D232A04"/>
    <w:rsid w:val="1DAE3F9A"/>
    <w:rsid w:val="207D68CF"/>
    <w:rsid w:val="20D31D8D"/>
    <w:rsid w:val="21244412"/>
    <w:rsid w:val="21351FFB"/>
    <w:rsid w:val="21AF47B7"/>
    <w:rsid w:val="22287868"/>
    <w:rsid w:val="22853819"/>
    <w:rsid w:val="22BB6B16"/>
    <w:rsid w:val="22CC2DA5"/>
    <w:rsid w:val="22E93633"/>
    <w:rsid w:val="23863352"/>
    <w:rsid w:val="241B1197"/>
    <w:rsid w:val="26D03CA5"/>
    <w:rsid w:val="273E043A"/>
    <w:rsid w:val="28E768F6"/>
    <w:rsid w:val="2AB64C21"/>
    <w:rsid w:val="2B797C93"/>
    <w:rsid w:val="2BCC6F93"/>
    <w:rsid w:val="2BF506DF"/>
    <w:rsid w:val="2CE22EB0"/>
    <w:rsid w:val="2D620E5E"/>
    <w:rsid w:val="2D770D19"/>
    <w:rsid w:val="2DC12766"/>
    <w:rsid w:val="2E556795"/>
    <w:rsid w:val="2E6452F7"/>
    <w:rsid w:val="2F067A90"/>
    <w:rsid w:val="2F2820FC"/>
    <w:rsid w:val="2F480FA5"/>
    <w:rsid w:val="3148394C"/>
    <w:rsid w:val="321B5F48"/>
    <w:rsid w:val="32AE794C"/>
    <w:rsid w:val="332E0D61"/>
    <w:rsid w:val="33784C9D"/>
    <w:rsid w:val="35780716"/>
    <w:rsid w:val="35B73962"/>
    <w:rsid w:val="36086F35"/>
    <w:rsid w:val="36301896"/>
    <w:rsid w:val="3639699D"/>
    <w:rsid w:val="3737372A"/>
    <w:rsid w:val="376712E7"/>
    <w:rsid w:val="383B6BAC"/>
    <w:rsid w:val="3ABD23CD"/>
    <w:rsid w:val="3B3C659A"/>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A377A9"/>
    <w:rsid w:val="44BA2C52"/>
    <w:rsid w:val="44D2693A"/>
    <w:rsid w:val="44FC0D59"/>
    <w:rsid w:val="45F46709"/>
    <w:rsid w:val="477E729B"/>
    <w:rsid w:val="4805593E"/>
    <w:rsid w:val="48265F7A"/>
    <w:rsid w:val="49434DDE"/>
    <w:rsid w:val="4950229C"/>
    <w:rsid w:val="4A2768C7"/>
    <w:rsid w:val="4A446A4D"/>
    <w:rsid w:val="4A7E66D3"/>
    <w:rsid w:val="4AB67766"/>
    <w:rsid w:val="4B102B0C"/>
    <w:rsid w:val="4B7629E8"/>
    <w:rsid w:val="4BEB0B38"/>
    <w:rsid w:val="4C213D03"/>
    <w:rsid w:val="4DFC03F6"/>
    <w:rsid w:val="4E1C4782"/>
    <w:rsid w:val="4F092A77"/>
    <w:rsid w:val="4F3363B9"/>
    <w:rsid w:val="522D7E73"/>
    <w:rsid w:val="52990A57"/>
    <w:rsid w:val="52EB1AE5"/>
    <w:rsid w:val="536C483F"/>
    <w:rsid w:val="53CF133C"/>
    <w:rsid w:val="54592CBD"/>
    <w:rsid w:val="551A0FF8"/>
    <w:rsid w:val="55211F6F"/>
    <w:rsid w:val="55713605"/>
    <w:rsid w:val="55B1434A"/>
    <w:rsid w:val="55C51BA3"/>
    <w:rsid w:val="57260D5A"/>
    <w:rsid w:val="57B50ACE"/>
    <w:rsid w:val="584A6F9F"/>
    <w:rsid w:val="59127B47"/>
    <w:rsid w:val="59825AF7"/>
    <w:rsid w:val="59851C6F"/>
    <w:rsid w:val="599E2E37"/>
    <w:rsid w:val="5A3115B5"/>
    <w:rsid w:val="5A6811BC"/>
    <w:rsid w:val="5A975C1F"/>
    <w:rsid w:val="5B1D1029"/>
    <w:rsid w:val="5C7400AD"/>
    <w:rsid w:val="5CCA7752"/>
    <w:rsid w:val="5D5E55F4"/>
    <w:rsid w:val="5DA00EB0"/>
    <w:rsid w:val="5DA24BA8"/>
    <w:rsid w:val="5E0B7851"/>
    <w:rsid w:val="5E1E4546"/>
    <w:rsid w:val="5ECB2C61"/>
    <w:rsid w:val="5ED45F67"/>
    <w:rsid w:val="606326E4"/>
    <w:rsid w:val="60DC47DF"/>
    <w:rsid w:val="61C96C3E"/>
    <w:rsid w:val="621668B9"/>
    <w:rsid w:val="62993F92"/>
    <w:rsid w:val="63767006"/>
    <w:rsid w:val="63F65FAC"/>
    <w:rsid w:val="658B4AA6"/>
    <w:rsid w:val="659F7D1B"/>
    <w:rsid w:val="660A03EC"/>
    <w:rsid w:val="6646724B"/>
    <w:rsid w:val="672B73E7"/>
    <w:rsid w:val="67340937"/>
    <w:rsid w:val="677B2349"/>
    <w:rsid w:val="683F57E5"/>
    <w:rsid w:val="69166546"/>
    <w:rsid w:val="69A766FF"/>
    <w:rsid w:val="6A7176EF"/>
    <w:rsid w:val="6BB96D56"/>
    <w:rsid w:val="6BD37675"/>
    <w:rsid w:val="6C8856AD"/>
    <w:rsid w:val="6CCA4E2A"/>
    <w:rsid w:val="6D876168"/>
    <w:rsid w:val="6E101B2E"/>
    <w:rsid w:val="6E646D25"/>
    <w:rsid w:val="6EBB2489"/>
    <w:rsid w:val="6ECF726C"/>
    <w:rsid w:val="70DF7B65"/>
    <w:rsid w:val="72657CBB"/>
    <w:rsid w:val="73565371"/>
    <w:rsid w:val="73E55492"/>
    <w:rsid w:val="749D7B1B"/>
    <w:rsid w:val="74B82BA7"/>
    <w:rsid w:val="74D304DE"/>
    <w:rsid w:val="75036D8E"/>
    <w:rsid w:val="759576A7"/>
    <w:rsid w:val="75E35A02"/>
    <w:rsid w:val="75E84C84"/>
    <w:rsid w:val="765D5643"/>
    <w:rsid w:val="7691545E"/>
    <w:rsid w:val="771A5453"/>
    <w:rsid w:val="784C3D32"/>
    <w:rsid w:val="79F772F3"/>
    <w:rsid w:val="79FF2F9E"/>
    <w:rsid w:val="7A01594F"/>
    <w:rsid w:val="7A905889"/>
    <w:rsid w:val="7B2120E1"/>
    <w:rsid w:val="7B694BFB"/>
    <w:rsid w:val="7B9D2AF7"/>
    <w:rsid w:val="7DA71A0B"/>
    <w:rsid w:val="7DC23325"/>
    <w:rsid w:val="7F390D88"/>
    <w:rsid w:val="7F781DA1"/>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semiHidden/>
    <w:unhideWhenUsed/>
    <w:qFormat/>
    <w:uiPriority w:val="0"/>
    <w:rPr>
      <w:sz w:val="21"/>
      <w:szCs w:val="21"/>
    </w:rPr>
  </w:style>
  <w:style w:type="character" w:customStyle="1" w:styleId="25">
    <w:name w:val="纯文本 Char"/>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font21"/>
    <w:basedOn w:val="21"/>
    <w:autoRedefine/>
    <w:qFormat/>
    <w:uiPriority w:val="0"/>
    <w:rPr>
      <w:rFonts w:hint="eastAsia" w:ascii="仿宋_GB2312" w:eastAsia="仿宋_GB2312" w:cs="仿宋_GB2312"/>
      <w:color w:val="000000"/>
      <w:sz w:val="22"/>
      <w:szCs w:val="22"/>
      <w:u w:val="none"/>
    </w:rPr>
  </w:style>
  <w:style w:type="character" w:customStyle="1" w:styleId="33">
    <w:name w:val="font101"/>
    <w:basedOn w:val="21"/>
    <w:autoRedefine/>
    <w:qFormat/>
    <w:uiPriority w:val="0"/>
    <w:rPr>
      <w:rFonts w:hint="eastAsia" w:ascii="仿宋_GB2312" w:eastAsia="仿宋_GB2312" w:cs="仿宋_GB2312"/>
      <w:color w:val="FF0000"/>
      <w:sz w:val="22"/>
      <w:szCs w:val="22"/>
      <w:u w:val="none"/>
    </w:rPr>
  </w:style>
  <w:style w:type="character" w:customStyle="1" w:styleId="34">
    <w:name w:val="font71"/>
    <w:basedOn w:val="21"/>
    <w:autoRedefine/>
    <w:qFormat/>
    <w:uiPriority w:val="0"/>
    <w:rPr>
      <w:rFonts w:hint="eastAsia" w:ascii="仿宋_GB2312" w:eastAsia="仿宋_GB2312" w:cs="仿宋_GB2312"/>
      <w:color w:val="FF0000"/>
      <w:sz w:val="22"/>
      <w:szCs w:val="22"/>
      <w:u w:val="none"/>
    </w:rPr>
  </w:style>
  <w:style w:type="character" w:customStyle="1" w:styleId="35">
    <w:name w:val="font11"/>
    <w:basedOn w:val="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55827-E4DA-4537-BA79-5D6B48F8952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7812</Words>
  <Characters>8346</Characters>
  <Lines>59</Lines>
  <Paragraphs>16</Paragraphs>
  <TotalTime>17</TotalTime>
  <ScaleCrop>false</ScaleCrop>
  <LinksUpToDate>false</LinksUpToDate>
  <CharactersWithSpaces>8739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2024-05-08T07:56:00Z</dcterms:created>
  <dc:creator>wgc</dc:creator>
  <cp:lastModifiedBy>Administrator</cp:lastModifiedBy>
  <cp:lastPrinted>2023-08-30T07:12:00Z</cp:lastPrinted>
  <dcterms:modified xsi:type="dcterms:W3CDTF">2024-05-31T00:50:27Z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BC4ADC7DC20D42779FCA9DBB2E4E2249_13</vt:lpwstr>
  </property>
</Properties>
</file>