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17413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青岛中医药传承创新基地基础设施建设项目一期变配电工程主材、设备等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</w:t>
      </w:r>
      <w:bookmarkStart w:id="22" w:name="_GoBack"/>
      <w:r>
        <w:rPr>
          <w:rFonts w:hint="eastAsia" w:ascii="仿宋" w:hAnsi="仿宋" w:eastAsia="仿宋"/>
          <w:sz w:val="28"/>
          <w:szCs w:val="28"/>
        </w:rPr>
        <w:t>青岛中医药传承创新基地基础设施建设项目一期变配电工程主材、设备等项目</w:t>
      </w:r>
      <w:bookmarkEnd w:id="22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第一包： 开闭所、1#、2#配电室高低压柜采购项目；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第二包： 3#、4#配电室高低压柜采购项目；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第三包:  干式变压器采购项目；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第四包:  封闭母线、桥架采购项目。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第一包开闭所、1#、2#配电室高低压柜采购项目：含税控制价3462735.09元，增值税税率13%；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第二包 3#、4#配电室高低压柜采购项目：含税控制价2555778.50元，增值税税率13%；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第三包 干式变压器采购项目：含税控制价为1990723.20元，增值税税率13%；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第四包 封闭母线、桥架采购项目：含税控制价为967134.96元, 增值税税率13%。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具体控制价明细详见各部分控制价明细表。</w:t>
      </w:r>
    </w:p>
    <w:p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5.供应商资格要求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5.1供应商必须具有独立法人资格,各供应商不得有企业关联或股权关系。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所生产的产品必须符合国家、行业标准相关要求，并在人员、设备、技术、资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5.3采购公告发布之日前三年内无行贿犯罪等重大违法记录。</w:t>
      </w:r>
    </w:p>
    <w:p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</w:rPr>
        <w:t>5.4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bookmarkEnd w:id="2"/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6.资格预审及采购文件的获取</w:t>
      </w:r>
    </w:p>
    <w:p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6.1截止时间：2024年6月20日13时00 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供应商名称+项目名称+第*包，正文备注联系人、联系方式、采购文件接收邮箱地址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资格审查材料：营业执照复印件；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</w:rPr>
        <w:t>以上材料均需加盖供应商公章。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7.响应文件递交时间以及地点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7.1时间：2024年6月25日8时30分至9时00分。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8.磋商时间以及地点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8.1时间：2024年6月25日9时00分。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9.联系方式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9.1采购人：青岛高新电力发展有限公司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人：黄芮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>
      <w:pPr>
        <w:pStyle w:val="16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2024年6月19日</w:t>
      </w: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4" w:name="_Toc134452749"/>
      <w:bookmarkStart w:id="5" w:name="_Toc1416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4"/>
      <w:bookmarkEnd w:id="5"/>
      <w:bookmarkStart w:id="6" w:name="_Toc134452750"/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bookmarkEnd w:id="6"/>
    <w:p>
      <w:pPr>
        <w:pStyle w:val="4"/>
        <w:tabs>
          <w:tab w:val="left" w:pos="8931"/>
        </w:tabs>
        <w:jc w:val="left"/>
        <w:rPr>
          <w:rStyle w:val="39"/>
          <w:rFonts w:ascii="仿宋" w:hAnsi="仿宋" w:eastAsia="仿宋"/>
          <w:b w:val="0"/>
          <w:sz w:val="28"/>
          <w:szCs w:val="28"/>
        </w:rPr>
      </w:pPr>
      <w:bookmarkStart w:id="7" w:name="_Toc27336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：详见清单。</w:t>
      </w:r>
      <w:bookmarkEnd w:id="7"/>
    </w:p>
    <w:p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8" w:name="_Toc12975"/>
      <w:bookmarkStart w:id="9" w:name="_Toc138080266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8"/>
      <w:bookmarkEnd w:id="9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.供方需保证其所提供的产品必须是合同所确定的正宗原装产品，其型号、规格必须符合招标产品所列的各项参数，质量必须达到该项设备的国家标准及行业质量标准，严禁使用不合格材料，假一罚十；所附各种资料及配件（软件）等必须齐全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★2.2第一、二包</w:t>
      </w:r>
      <w:r>
        <w:rPr>
          <w:rFonts w:ascii="仿宋" w:hAnsi="仿宋" w:eastAsia="仿宋"/>
          <w:sz w:val="28"/>
          <w:szCs w:val="28"/>
        </w:rPr>
        <w:t>开闭所、高低压柜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由供方包设备、就位、铜排连接、隔离开关、避雷器</w:t>
      </w:r>
      <w:r>
        <w:rPr>
          <w:rFonts w:hint="eastAsia" w:ascii="仿宋" w:hAnsi="仿宋" w:eastAsia="仿宋"/>
          <w:sz w:val="28"/>
          <w:szCs w:val="28"/>
        </w:rPr>
        <w:t>就位</w:t>
      </w:r>
      <w:r>
        <w:rPr>
          <w:rFonts w:ascii="仿宋" w:hAnsi="仿宋" w:eastAsia="仿宋"/>
          <w:sz w:val="28"/>
          <w:szCs w:val="28"/>
        </w:rPr>
        <w:t>等内容，包质量及相关系统的、调试；相关电气设备、继电保护系统、远动通讯系统的就位、连接、验收、调试应按照国家颁发的工程设计、施工及验收规范、电力系统相关验收规范进行；所有开关柜内高压断路器及二次接线的连接、接线需统一标准，满足断路器间互换要求。</w:t>
      </w:r>
    </w:p>
    <w:p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第三包</w:t>
      </w:r>
      <w:r>
        <w:rPr>
          <w:rFonts w:ascii="仿宋" w:hAnsi="仿宋" w:eastAsia="仿宋"/>
          <w:sz w:val="28"/>
          <w:szCs w:val="28"/>
        </w:rPr>
        <w:t>干式变压器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由供方包设备、就位、包质量及相关系统的调试等工作，干式变压器产品需为铜芯，</w:t>
      </w:r>
      <w:r>
        <w:rPr>
          <w:rFonts w:hint="eastAsia" w:ascii="仿宋" w:hAnsi="仿宋" w:eastAsia="仿宋"/>
          <w:sz w:val="28"/>
          <w:szCs w:val="28"/>
        </w:rPr>
        <w:t>严禁使用不合格材料，假一罚十</w:t>
      </w:r>
      <w:r>
        <w:rPr>
          <w:rFonts w:ascii="仿宋" w:hAnsi="仿宋" w:eastAsia="仿宋"/>
          <w:sz w:val="28"/>
          <w:szCs w:val="28"/>
        </w:rPr>
        <w:t>。验收、调试应按照国家颁发的工程设计、施工及验收规范、电力系统相关验收规范进行。</w:t>
      </w:r>
    </w:p>
    <w:p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第四包、</w:t>
      </w:r>
      <w:r>
        <w:rPr>
          <w:rFonts w:ascii="仿宋" w:hAnsi="仿宋" w:eastAsia="仿宋"/>
          <w:sz w:val="28"/>
          <w:szCs w:val="28"/>
        </w:rPr>
        <w:t>桥架、封闭母线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由供方包桥架、封闭母线材料的就位工作，包质量及相关桥架、封闭母线系统的调试；相关产品的就位、连接、验收、调试应按照国家颁发的工程设计、施工及验收规范、电力系统相关验收规范进行。</w:t>
      </w:r>
    </w:p>
    <w:p>
      <w:pPr>
        <w:spacing w:line="56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2.3.产品的验收按照国家标准、行业标准及国网验收规范进行，如相关产品所用工程项目验收中，属国网供电公司电源系统，未通过国网验收的情形，需方有权进行退货处理。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★2.4.成交人需随货提供产品合格证、生产许可证，出厂试验报告、型式报告等。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★2.5.供货期：签订合同后15日内交货。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2.6.服务地点：采购人指定地点。</w:t>
      </w:r>
    </w:p>
    <w:p>
      <w:pPr>
        <w:spacing w:line="56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★3.付款方式</w:t>
      </w:r>
    </w:p>
    <w:p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款项按照节点支付:电气设备安装完成，并完成数量计量后，乙方应于完成计量的次月5日前提供与核算值等额的增值税发票(13%)，甲方收到发票后 30天内支付当阶段核对金额的70%;分包工程完工并经甲方、监理单位、建设单位验收通过后 30日内，甲方向乙方支付至甲方累计确认完成产值的80%。乙方工程完工且甲方项目完成结算后 30日内，乙方向甲方提供与最终结算价等额的合法发票，甲方收到全部发票后且甲方与建设单位总包结算完成后一年内，甲方向乙方支付至乙方最终结算价款的95%，留 5%为质量保证金。各节点款项支付均以甲方收到建设单位工程款项后予以同步支付。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0" w:name="_Toc17841"/>
      <w:r>
        <w:rPr>
          <w:rFonts w:hint="eastAsia" w:asciiTheme="minorEastAsia" w:hAnsiTheme="minorEastAsia" w:eastAsiaTheme="minorEastAsia"/>
          <w:sz w:val="28"/>
          <w:szCs w:val="28"/>
        </w:rPr>
        <w:t>4.验收</w:t>
      </w:r>
      <w:bookmarkEnd w:id="10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1" w:name="_Toc6010"/>
      <w:bookmarkStart w:id="12" w:name="_Toc134452754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11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13" w:name="_Toc24803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13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28"/>
        <w:tblW w:w="943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244"/>
        <w:gridCol w:w="5290"/>
        <w:gridCol w:w="1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设备品牌表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主材名称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品牌要求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干式变压器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特变电工、济南西电、东芝电气、广东顺特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中压断路器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泰永长征、厦门华电、无锡罗格朗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框架断路器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ABB、施耐德、西门子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塑壳断路器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ABB、施耐德、西门子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仪表及电力监控系统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沈阳斯沃、深圳中电、江苏卡博纳、上海纳宇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无功补偿、滤波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埃特罗斯、上海坦茨、天津阿斯德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微机保护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深圳中电、南瑞继保、北京四方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火灾监控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北大青鸟、依爱、北京利达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直流屏</w:t>
            </w:r>
          </w:p>
        </w:tc>
        <w:tc>
          <w:tcPr>
            <w:tcW w:w="5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中泰智达、深圳中电、山东卡图思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采购清单控制价</w:t>
      </w:r>
    </w:p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第一包：开闭所、1#、2#配电室高低压柜采购项目（含税价，增值税税率为13%）</w:t>
      </w:r>
    </w:p>
    <w:tbl>
      <w:tblPr>
        <w:tblStyle w:val="28"/>
        <w:tblW w:w="9866" w:type="dxa"/>
        <w:tblInd w:w="-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766"/>
        <w:gridCol w:w="683"/>
        <w:gridCol w:w="883"/>
        <w:gridCol w:w="1317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1.名称:高压开关柜（G01)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4.开关柜用途（负荷容量KVA):1#进线开关柜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50086.47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100172.93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1.名称:高压开关柜（G02)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3.开关柜用途（负荷容量KVA):1# 计量柜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28383.04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56766.07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1.名称:高压开关柜（G03)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3.开关柜用途（负荷容量KVA):1# 电压互感器避雷器柜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25061.21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50122.42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1.名称:高压开关柜（G04)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4.开关柜用途（负荷容量KVA):1#出线柜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1.名称:高压开关柜（G05)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4.开关柜用途（负荷容量KVA):3#出线柜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1.名称:高压开关柜（G06)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4.开关柜用途（负荷容量KVA):5#出线柜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1.名称:高压开关柜（G07)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4.开关柜用途（负荷容量KVA):7#出线柜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1.名称:高压开关柜（G08)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4.开关柜用途（负荷容量KVA):9#出线柜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1.名称:高压开关柜（G09)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4.开关柜用途（负荷容量KVA):10#出线柜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1.名称:高压开关柜（G10)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4.开关柜用途（负荷容量KVA):8#出线柜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1.名称:高压开关柜（G11)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3.二次保护内容：过流、速断、单相接地、二段温度保护(高温报警,超高温跳闸)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4.开关柜用途（负荷容量KVA):6#出线柜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44421.69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1.名称:高压开关柜（G12)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3.开关柜用途（负荷容量KVA):1# 电压互感器避雷器柜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25061.21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50122.42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1.名称:高压开关柜（G13)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3.开关柜用途（负荷容量KVA):1# 计量柜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28383.04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56766.07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1.名称:高压开关柜（G14)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4.开关柜用途（负荷容量KVA):1#进线开关柜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50086.44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100172.87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隔离开关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1.名称:隔离开关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2.型号:GN19-10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3.容量(A):630A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4.电压等级(kV):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5.安装条件: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6.操作机构名称及型号: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7.接线材质、规格: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8.安装部位: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1374.39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5497.58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直流屏 1.名称:成套直流屏（含电池）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2.规格:100AH 110V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3.型号:100AH 110V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4.电压等级(kV):110v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49906.53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99813.06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避雷器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1.名称:避雷器安装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2.型号:HY5WS1-17/45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4.电压等级:10kV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5.安装部位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847.06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3388.24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控制台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1.名称:计算机后台装置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4.基础型钢形式、规格: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5.接线端子材质、规格: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6.端子板外部接线材质、规格: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7.小母线材质、规格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97175.57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97175.57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1.名称:高压开关柜（G01)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4.开关柜用途（负荷容量KVA):1#进线开关柜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45789.04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45789.04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1.名称:高压开关柜（G02)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3.开关柜用途（负荷容量KVA):1# 电压互感器避雷器柜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4.一次线路额定电流（A）：按设计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30465.53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30465.53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1.名称:高压开关柜（G03)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4.开关柜用途（负荷容量KVA):1#出线柜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43876.36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43876.36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22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1.名称:高压开关柜（G04)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4.开关柜用途（负荷容量KVA):3#出线柜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43876.36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43876.36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1.名称:高压开关柜（G05)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4.开关柜用途（负荷容量KVA):4#出线柜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43876.36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43876.36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1.名称:高压开关柜（G06)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3.二次保护内容：过流、速断、单相接地、二段温度保护(高温报警,超高温跳闸)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4.开关柜用途（负荷容量KVA):2#出线柜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43876.36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43876.36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1.名称:高压开关柜（G07)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3.开关柜用途（负荷容量KVA):2# 电压互感器避雷器柜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4.一次线路额定电流（A）：按设计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30465.53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30465.53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1.名称:高压开关柜（G08)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4.开关柜用途（负荷容量KVA):2#进线开关柜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45789.04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45789.04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隔离开关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1.名称:隔离开关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2.型号:GN19-10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3.容量(A):630A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5.安装条件: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6.操作机构名称及型号: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7.接线材质、规格: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8.安装部位: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1374.39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2748.79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1.名称:低压动力变电源（101、201）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67852.90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135705.80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低压电容器柜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1.名称:低压电容补偿柜（102、202）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3.规格:800*1000*2200mm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59281.54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118563.08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1.名称:低压配电柜（103）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31951.24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31951.24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1.名称:低压配电柜（104）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34092.25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34092.25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1.名称:低压配电柜（105）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34336.42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34336.42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1.名称:低压配电柜（203）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29672.76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29672.76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1.名称:低压配电柜（204）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32244.26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32244.26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1.名称:低压配电柜（205）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36322.34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36322.34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1.名称:低压配电柜（206）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3.规格:1000*1000*2200mm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69187.69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69187.69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1.名称:低压动力变电源（301、401）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50402.85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100805.69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38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低压电容器柜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1.名称:低压电容补偿柜（302、402）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78774.92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157549.84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39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1.名称:低压配电柜（303）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29762.27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29762.27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1.名称:低压配电柜（304）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33335.31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33335.31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41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1.名称:低压配电柜（305）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32903.96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32903.96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42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1.名称:低压配电柜（306）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37364.12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37364.12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1.名称:低压配电柜（307）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51485.33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51485.33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1.名称:低压配电柜403）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30983.13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30983.13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1.名称:低压配电柜（404）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35329.38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35329.38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46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1.名称:低压配电柜（405）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28484.03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28484.03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1.名称:低压配电柜（406）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34857.31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34857.31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48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直流屏 1.名称:成套直流屏（含电池）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2.规格:50AH 110V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3.型号:50AH 110V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4.电压等级(kV):110v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16495.19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16495.19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火灾报警系统控制主机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1.规格、线制: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2.控制回路: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3.安装方式：安装、调试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2354.22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2354.22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避雷器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1.名称:避雷器安装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2.型号:H1.5W-0.5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4.电压等级:1kV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5.安装部位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58.44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233.75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51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1.名称:高压开关柜（G01)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4.开关柜用途（负荷容量KVA):1#进线开关柜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45789.04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45789.04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52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1.名称:高压开关柜（G02)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3.开关柜用途（负荷容量KVA):1# 电压互感器避雷器柜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4.一次线路额定电流（A）：按设计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30465.53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30465.53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53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1.名称:高压开关柜（G03)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3.开关柜用途（负荷容量KVA):2# 电压互感器避雷器柜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4.一次线路额定电流（A）：按设计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30465.53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30465.53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54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1.名称:高压开关柜（G04)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4.开关柜用途（负荷容量KVA):2#进线开关柜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45789.04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45789.04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55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隔离开关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1.名称:隔离开关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2.型号:GN19-10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3.容量(A):630A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5.安装条件: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6.操作机构名称及型号: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7.接线材质、规格: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8.安装部位: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1374.39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2748.79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1.名称:低压动力变电源（101、201）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50402.85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100805.69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57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低压电容器柜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1.名称:低压电容补偿柜（102、202）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78774.92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157549.84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58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1.名称:低压配电柜（103）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36761.83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36761.83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59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1.名称:低压配电柜（104）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35524.72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35524.72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60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1.名称:低压配电柜（105）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36761.83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36761.83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61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1.名称:低压配电柜（106）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35475.88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35475.88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62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1.名称:低压配电柜（107）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37567.61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37567.61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63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1.名称:低压配电柜（108）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35801.44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35801.44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64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1.名称:低压配电柜（109）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31683.09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31683.09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65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1.名称:低压配电柜（110）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51485.33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51485.33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66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1.名称:低压配电柜（203）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3.规格:800*1000*2200mm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26295.06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26295.06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67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1.名称:低压配电柜（204）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40904.60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40904.60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68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1.名称:低压配电柜（205）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28484.03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28484.03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69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1.名称:低压配电柜（206）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24439.37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24439.37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70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1.名称:低压配电柜（207）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33473.68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33473.68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71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1.名称:柴油发电机切换柜（208）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56702.44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56702.44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72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1.名称:低压配电柜（209）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32000.09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32000.09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73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1.名称:低压配电柜（210）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33229.52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33229.52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74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直流屏 1.名称:成套直流屏（含电池）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2.规格:100AH 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3.型号:100AH 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5.基础型钢形式、规格:#10槽钢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49906.53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49906.53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75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避雷器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1.名称:避雷器安装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2.型号:H1.5W-0.5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4.电压等级:1kV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5.安装部位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58.44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116.87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76 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火灾报警系统控制主机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1.规格、线制: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2.控制回路: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3.安装方式：安装、调试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2354.22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2354.22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3462735.09 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</w:p>
    <w:bookmarkEnd w:id="12"/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bookmarkStart w:id="14" w:name="_Toc134452757"/>
      <w:r>
        <w:rPr>
          <w:rFonts w:hint="eastAsia" w:ascii="仿宋" w:hAnsi="仿宋" w:eastAsia="仿宋"/>
          <w:b/>
          <w:bCs/>
          <w:sz w:val="28"/>
          <w:szCs w:val="28"/>
        </w:rPr>
        <w:t>第二包：3#、4#配电室高低压柜采购项目（含税价，增值税税率为13%）</w:t>
      </w:r>
    </w:p>
    <w:tbl>
      <w:tblPr>
        <w:tblStyle w:val="28"/>
        <w:tblW w:w="9850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800"/>
        <w:gridCol w:w="733"/>
        <w:gridCol w:w="800"/>
        <w:gridCol w:w="135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控制单价（元）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控制总价（元）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1.名称:高压开关柜（G01)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4.开关柜用途（负荷容量KVA):1#进线开关柜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49859.18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49859.18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1.名称:高压开关柜（G02)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3.开关柜用途（负荷容量KVA):1# 电压互感器避雷器柜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33173.57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33173.57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1.名称:高压开关柜（G03)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3.开关柜用途（负荷容量KVA):2# 电压互感器避雷器柜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33173.57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33173.57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高压成套配电柜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1.名称:高压开关柜（G04)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2.型号:KYN28A-12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3.二次保护内容：过流、速断、单相接地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4.开关柜用途（负荷容量KVA):2#进线开关柜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5.一次线路额定电流（A）：按设计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6.规格:800*1660*2300mm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7.基础型钢形式、规格:#10槽钢基础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49859.18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49859.18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隔离开关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1.名称:隔离开关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2.型号:GN19-10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3.容量(A):630A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5.安装条件: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6.操作机构名称及型号: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7.接线材质、规格: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8.安装部位: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1496.56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2993.13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1.名称:低压动力变电源（101、201）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73884.27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147768.53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低压电容器柜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1.名称:低压电容补偿柜（102、103、202、203）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3.规格:800*1000*2200mm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64551.01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258204.04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1.名称:消防泵房进线双电源箱CK-4ATXFB1（104）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3.规格:800*1000*2200mm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28596.95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28596.95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1.名称:低压配电柜（105）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35429.46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35429.46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1.名称:低压配电柜（106）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40791.73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40791.73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1.名称:低压配电柜（107）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37893.69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37893.69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1.名称:低压配电柜（108）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29430.03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29430.03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1.名称:低压配电柜（109）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35793.28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35793.28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1.名称:消防泵房进线双电源箱CK-4ATXFB1（204）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3.规格:800*1000*2200mm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28596.95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28596.95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1.名称:低压配电柜（205）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39293.97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39293.97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1.名称:低压配电柜（206）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37893.69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37893.69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1.名称:低压配电柜（207）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35535.81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35535.81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1.名称:低压配电柜（208）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3.规格:800*1000*2200mm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29430.03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29430.03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1.名称:低压配电柜（209）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33311.79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33311.79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1.名称:低压配电柜（210）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2.型号:MNS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3.规格:600*1000*2200mm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4.种类：按设计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5.基础型钢形式、规格:#8槽钢基础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6.接线端子材质、规格：铜接线端子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7.接线端子外部接线材质、规格：铜接线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8.小母线材质、规格：铜母线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9.屏边规格：柜板采用覆铝锌钢板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34056.25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34056.25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直流屏 1.名称:成套直流屏（含电池）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2.规格:50AH 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3.型号:50AH 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5.基础型钢形式、规格:#10槽钢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17961.43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17961.43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22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火灾报警系统控制主机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1.规格、线制: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2.控制回路: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3.安装方式：安装、调试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2563.49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2563.49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23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避雷器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1.名称:避雷器安装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2.型号:H1.5W-0.5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4.电压等级:1kV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5.安装部位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63.63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127.26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1.名称:高压开关柜（G01)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4.开关柜用途（负荷容量KVA):1#进线开关柜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49859.18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49859.18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1.名称:高压开关柜（G02)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3.开关柜用途（负荷容量KVA):1# 电压互感器避雷器柜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4.一次线路额定电流（A）：按设计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33173.57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33173.57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1.名称:高压开关柜（G03)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3.二次保护内容：过流、速断、单相接地、二段温度保护(高温报警,超高温跳闸)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4.开关柜用途（负荷容量KVA):1#出线柜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47776.48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47776.48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1.名称:高压开关柜（G04)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3.二次保护内容：过流、速断、单相接地、二段温度保护(高温报警,超高温跳闸)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4.开关柜用途（负荷容量KVA):3#出线柜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47776.48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47776.48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1.名称:高压开关柜（G05)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3.二次保护内容：过流、速断、单相接地、二段温度保护(高温报警,超高温跳闸)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4.开关柜用途（负荷容量KVA):4#出线柜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47776.48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47776.48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1.名称:高压开关柜（G06)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3.二次保护内容：过流、速断、单相接地、二段温度保护(高温报警,超高温跳闸)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4.开关柜用途（负荷容量KVA):2#出线柜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47776.48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47776.48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1.名称:高压开关柜（G07)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3.开关柜用途（负荷容量KVA):2# 电压互感器避雷器柜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4.一次线路额定电流（A）：按设计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33173.57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33173.57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高压成套配电柜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1.名称:高压开关柜（G08)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2.型号:KYN28A-12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3.二次保护内容：过流、速断、单相接地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4.开关柜用途（负荷容量KVA):2#进线开关柜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5.一次线路额定电流（A）：按设计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6.规格:800*1660*2300mm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49859.18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49859.18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隔离开关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1.名称:隔离开关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2.型号:GN19-10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3.容量(A):630A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5.安装条件: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6.操作机构名称及型号: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7.接线材质、规格: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8.安装部位: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1496.56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2993.13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1.名称:低压动力变电源（101、201、301、401）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39223.07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156892.27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低压电容器柜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1.名称:低压电容补偿柜（102、202、302、402）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3.规格:800*1000*2200mm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64794.13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259176.52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1.名称:低压配电柜（103）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28313.35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28313.35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1.名称:低压配电柜（104）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26204.07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26204.07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1.名称:低压配电柜（105）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30564.43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30564.43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38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1.名称:低压配电柜（106）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30564.43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30564.43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39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1.名称:柴油发电机切换柜（107）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57940.65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57940.65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1.名称:低压配电柜（108）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25645.27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25645.27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41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1.名称:低压配电柜（203、204）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26204.07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52408.15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42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1.名称:低压配电柜（205）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30945.05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30945.05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1.名称:低压配电柜（206）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32327.60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32327.60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1.名称:低压配电柜（207）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29792.91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29792.91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1.名称:低压配电柜（303）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34481.63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34481.63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46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1.名称:低压配电柜（304）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30945.52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30945.52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1.名称:低压配电柜（305、306）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28286.76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56573.52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48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1.名称:低压配电柜（307）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30369.45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30369.45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49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1.名称:低压配电柜（403）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34481.63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34481.63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1.名称:低压配电柜（404）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30945.52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30945.52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51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1.名称:低压配电柜（405）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33692.41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33692.41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52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1.名称:低压配电柜（406）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38567.26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38567.26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53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1.名称:低压配电柜（407）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3.规格:600*1000*2200mm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37831.66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37831.66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低压开关柜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1.名称:低压配电柜（408）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2.型号:MNS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3.规格:1000*1000*2200mm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4.种类：按设计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5.基础型钢形式、规格:#8槽钢基础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6.接线端子材质、规格：铜接线端子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7.接线端子外部接线材质、规格：铜接线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8.小母线材质、规格：铜母线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9.屏边规格：柜板采用覆铝锌钢板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10.其他:详见图纸，满足设计及规范要求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44434.20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44434.20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55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直流屏 1.名称:成套直流屏（含电池）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2.规格:50AH 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3.型号:50AH 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4.电压等级(kV):110v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5.基础型钢形式、规格:#10槽钢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17961.43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17961.43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56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火灾报警系统控制主机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1.规格、线制: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2.控制回路: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3.安装方式：安装、调试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2563.49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2563.49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57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避雷器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1.名称:避雷器安装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2.型号:H1.5W-0.5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4.电压等级:1kV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5.安装部位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63.63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254.52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2555778.50 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第三包：干式变压器采购项目（含税价，增值税税率为13%）</w:t>
      </w:r>
    </w:p>
    <w:tbl>
      <w:tblPr>
        <w:tblStyle w:val="28"/>
        <w:tblW w:w="9850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800"/>
        <w:gridCol w:w="784"/>
        <w:gridCol w:w="750"/>
        <w:gridCol w:w="1383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项目特征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干式变压器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1.名称:干式变压器（包括配套变压器外壳及变压器柜，软连接、变压器减震等）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2.型号:SCB13-1250KVA U(K)=6%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3.容量(kV·A):1250KVA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4.电压(kV):10/0.4KV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5.油过滤要求:满足设计及规范要求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6.干燥要求:满足设计及规范要求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7.基础型钢形式、规格:#18槽钢基础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8.温控箱型号、规格：风冷温控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9.网门、保护门材质、规格:详见图纸满足设计及规范要求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10.温控箱型号、规格:IP21,满足设计及规范要求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11.其他：详见图纸，满足设计及规范要求。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166990.30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667961.20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干式变压器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1.名称:干式变压器（包括配套变压器外壳及变压器柜，软连接、变压器减震等）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2.型号:SCB13-1250KVA U(K)=6%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3.容量(kV·A):1250KVA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4.电压(kV):10/0.4KV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5.油过滤要求:满足设计及规范要求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6.干燥要求:满足设计及规范要求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7.基础型钢形式、规格:#18槽钢基础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8.温控箱型号、规格：风冷温控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9.网门、保护门材质、规格:详见图纸满足设计及规范要求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10.温控箱型号、规格:IP21,满足设计及规范要求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11.其他：详见图纸，满足设计及规范要求。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166990.30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333980.60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干式变压器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1.名称:干式变压器（包括配套变压器外壳及变压器柜，软连接、变压器减震等）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2.型号:SCB13-1600KVA U(K)=6%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3.容量(kV·A):1600KVA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4.电压(kV):10/0.4KV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5.油过滤要求:满足设计及规范要求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6.干燥要求:满足设计及规范要求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7.基础型钢形式、规格:#18槽钢基础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8.温控箱型号、规格：风冷温控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9.网门、保护门材质、规格:详见图纸满足设计及规范要求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10.温控箱型号、规格:IP21,满足设计及规范要求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11.其他：详见图纸，满足设计及规范要求。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208955.08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417910.16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干式变压器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1.名称:干式变压器（包括配套变压器外壳及变压器柜，软连接、变压器减震等）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2.型号:SCB13-1000KVA U(K)=6%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3.容量(kV·A):1000KVA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4.电压(kV):10/0.4KV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5.油过滤要求:满足设计及规范要求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6.干燥要求:满足设计及规范要求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7.基础型钢形式、规格:#10槽钢基础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8.温控箱型号、规格：风冷温控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9.网门、保护门材质、规格:详见图纸满足设计及规范要求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10.温控箱型号、规格:IP21,满足设计及规范要求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11.其他：详见图纸，满足设计及规范要求。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142717.81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570871.24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1990723.20 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第四包：封闭母线、桥架采购项目（含税价，增值税税率为13%）</w:t>
      </w:r>
    </w:p>
    <w:tbl>
      <w:tblPr>
        <w:tblStyle w:val="28"/>
        <w:tblW w:w="9867" w:type="dxa"/>
        <w:tblInd w:w="-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850"/>
        <w:gridCol w:w="767"/>
        <w:gridCol w:w="750"/>
        <w:gridCol w:w="1417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项目特征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工程量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控制单价（元）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控制总价（元）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带形母线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1.名称:带型铜母线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2.型号:TMY-125*10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3.规格:125*10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4.材质:铜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5.分相漆品种:相色漆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371.00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587.89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218108.60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带形母线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1.名称:带型铜母线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2.型号:TMY-100*10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3.规格:100*10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4.材质:铜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5.分相漆品种:相色漆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307.00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470.07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144310.05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带形母线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1.名称:带型铜母线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2.型号:TMY-80*8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3.规格:80*8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4.材质:铜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5.分相漆品种:相色漆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297.54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5653.23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带形母线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1.名称:带型铜母线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2.型号:TMY-40*4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3.规格:40*4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4.材质:铜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5.分相漆品种:相色漆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6.其他：详见图纸，满足设计及规范要求。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36.00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79.67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2868.16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低压封闭式插接母线槽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1.名称:紧密母线槽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3.规格:含直线、弯头、连接器、支架等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4.容量(A):3200A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4362.61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152691.24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低压封闭式插接母线槽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1.名称:紧密母线槽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3.规格:含直线、弯头、连接器、支架等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4.容量(A):2500A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3160.09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142204.08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低压封闭式插接母线槽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1.名称:紧密母线槽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3.规格:含直线、弯头、连接器、支架等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4.容量(A):1250A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1274.89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30597.45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低压封闭式插接母线槽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1.名称:紧密母线槽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3.规格:含直线、弯头、连接器、支架等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4.容量(A):8000A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817.22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6537.76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低压封闭式插接母线槽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1.名称:紧密母线槽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3.规格:含直线、弯头、连接器、支架等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4.容量(A):630A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50.00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686.48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34323.92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低压封闭式插接母线槽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1.名称:紧密母线槽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3.规格:含直线、弯头、连接器、支架等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4.容量(A):2000A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2137.45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32061.70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始端箱、分线箱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2.型号:紧密母线槽始端箱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4.容量(A):3200A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953.92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11447.09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始端箱、分线箱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2.型号:紧密母线槽始端箱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4.容量(A):2500A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768.29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9219.53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始端箱、分线箱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2.型号:紧密母线槽始端箱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4.容量(A):1250A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550.99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2203.94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始端箱、分线箱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1.名称:始端箱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2.型号:紧密母线槽始端箱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3.规格:按设计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4.容量(A):800A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357.79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1073.37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始端箱、分线箱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2.型号:紧密母线槽始端箱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4.容量(A):630A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326.24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4893.53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始端箱、分线箱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1.名称:始端箱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2.型号:紧密母线槽始端箱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3.规格:按设计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4.容量(A):2000A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5.其他:详见图纸，满足设计及规范要求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551.22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6614.64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1.名称：电缆桥架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2.规格：800*200；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3.材质：热镀锌钢制桥架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4.接地方式：满足设计及规范要求；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5.其他：包含弯头、盖板、隔板、三通、四通、接地等所有附件，壁厚满足设计及规范要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264.04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46734.74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1.名称：电缆桥架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2.规格：400*200；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3.材质：热镀锌钢制桥架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4.接地方式：满足设计及规范要求；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5.其含弯头、盖板、隔板、三通、四通、接地等所有附件，壁厚满足设计及规范要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122.50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45202.47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1.名称：电缆桥架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2.规格：200*100；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3.材质：热镀锌钢制桥架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4.接地方式：满足设计及规范要求；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5.其他：包含弯头、盖板、隔板、三通、四通、接地等所有附件，壁厚满足设计及规范要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57.53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10124.58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20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1.名称：电缆桥架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2.规格：600*200；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3.材质：热镀锌钢制桥架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4.接地方式：满足设计及规范要求；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5.其他：包含弯头、盖板、隔板、三通、四通、接地等所有附件，壁厚满足设计及规范要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210.65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47818.59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 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支架制作安装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1.名称:桥架支架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2.材质: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3.支架每组质量: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4.35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2861.22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12446.29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967134.96 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bCs/>
          <w:sz w:val="28"/>
          <w:szCs w:val="28"/>
        </w:rPr>
      </w:pPr>
    </w:p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bookmarkEnd w:id="14"/>
      <w:bookmarkStart w:id="15" w:name="_Toc464831080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bookmarkEnd w:id="15"/>
    <w:p>
      <w:pPr>
        <w:widowControl/>
        <w:jc w:val="left"/>
        <w:rPr>
          <w:rStyle w:val="51"/>
          <w:rFonts w:cs="仿宋"/>
          <w:sz w:val="24"/>
          <w:szCs w:val="24"/>
        </w:rPr>
      </w:pPr>
      <w:bookmarkStart w:id="16" w:name="_Toc144974860"/>
      <w:bookmarkStart w:id="17" w:name="_Toc247514283"/>
      <w:bookmarkStart w:id="18" w:name="_Toc247527831"/>
      <w:bookmarkStart w:id="19" w:name="_Toc300835213"/>
      <w:bookmarkStart w:id="20" w:name="_Toc152045791"/>
      <w:bookmarkStart w:id="21" w:name="_Toc152042580"/>
      <w:r>
        <w:rPr>
          <w:rStyle w:val="51"/>
          <w:rFonts w:hint="eastAsia" w:cs="仿宋"/>
          <w:sz w:val="24"/>
          <w:szCs w:val="24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16"/>
      <w:bookmarkEnd w:id="17"/>
      <w:bookmarkEnd w:id="18"/>
      <w:bookmarkEnd w:id="19"/>
      <w:bookmarkEnd w:id="20"/>
      <w:bookmarkEnd w:id="21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本授权委托书于年月日起签字生效,特此声明。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67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0660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26D33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26A25"/>
    <w:rsid w:val="00432DDC"/>
    <w:rsid w:val="00432FB1"/>
    <w:rsid w:val="0043532B"/>
    <w:rsid w:val="004359BE"/>
    <w:rsid w:val="0043685A"/>
    <w:rsid w:val="00437BD0"/>
    <w:rsid w:val="00441E4E"/>
    <w:rsid w:val="00442503"/>
    <w:rsid w:val="00447B66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6FF"/>
    <w:rsid w:val="00A33BFC"/>
    <w:rsid w:val="00A36D9B"/>
    <w:rsid w:val="00A437F9"/>
    <w:rsid w:val="00A46AB4"/>
    <w:rsid w:val="00A50087"/>
    <w:rsid w:val="00A50DB8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2D27"/>
    <w:rsid w:val="00B44470"/>
    <w:rsid w:val="00B537EE"/>
    <w:rsid w:val="00B56851"/>
    <w:rsid w:val="00B6042D"/>
    <w:rsid w:val="00B61C4C"/>
    <w:rsid w:val="00B623F5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557D"/>
    <w:rsid w:val="00FF6692"/>
    <w:rsid w:val="00FF7504"/>
    <w:rsid w:val="01374EE1"/>
    <w:rsid w:val="017774D2"/>
    <w:rsid w:val="02094E3E"/>
    <w:rsid w:val="03BD55AE"/>
    <w:rsid w:val="041C782C"/>
    <w:rsid w:val="04C70B93"/>
    <w:rsid w:val="051A4271"/>
    <w:rsid w:val="05430D70"/>
    <w:rsid w:val="054A49F6"/>
    <w:rsid w:val="05BF54E7"/>
    <w:rsid w:val="06157B02"/>
    <w:rsid w:val="061E0DD8"/>
    <w:rsid w:val="06D33D99"/>
    <w:rsid w:val="077944FA"/>
    <w:rsid w:val="09302B22"/>
    <w:rsid w:val="093A12E4"/>
    <w:rsid w:val="0B003157"/>
    <w:rsid w:val="0C3E54EB"/>
    <w:rsid w:val="0C667EA6"/>
    <w:rsid w:val="0EF0773D"/>
    <w:rsid w:val="11072A94"/>
    <w:rsid w:val="117F09CB"/>
    <w:rsid w:val="13FC1FA7"/>
    <w:rsid w:val="14BB6264"/>
    <w:rsid w:val="14BF5B42"/>
    <w:rsid w:val="156D4658"/>
    <w:rsid w:val="16602E67"/>
    <w:rsid w:val="17A4368E"/>
    <w:rsid w:val="17D11706"/>
    <w:rsid w:val="183C2C23"/>
    <w:rsid w:val="18B65084"/>
    <w:rsid w:val="18B74DA0"/>
    <w:rsid w:val="19B14682"/>
    <w:rsid w:val="19F1668A"/>
    <w:rsid w:val="1A242252"/>
    <w:rsid w:val="1AB01702"/>
    <w:rsid w:val="1BF730CC"/>
    <w:rsid w:val="1D601743"/>
    <w:rsid w:val="1DCD6AB3"/>
    <w:rsid w:val="1E884898"/>
    <w:rsid w:val="1FD647A8"/>
    <w:rsid w:val="1FE33537"/>
    <w:rsid w:val="219A5FA9"/>
    <w:rsid w:val="222D6F71"/>
    <w:rsid w:val="2249286A"/>
    <w:rsid w:val="22D45338"/>
    <w:rsid w:val="23E0478E"/>
    <w:rsid w:val="24463666"/>
    <w:rsid w:val="24C43A2C"/>
    <w:rsid w:val="256A6239"/>
    <w:rsid w:val="26807963"/>
    <w:rsid w:val="26C52111"/>
    <w:rsid w:val="27E76110"/>
    <w:rsid w:val="29044E18"/>
    <w:rsid w:val="29E5284D"/>
    <w:rsid w:val="2AB9711D"/>
    <w:rsid w:val="2ADA6C71"/>
    <w:rsid w:val="2AEF2CAC"/>
    <w:rsid w:val="2B2937A5"/>
    <w:rsid w:val="2BF203AC"/>
    <w:rsid w:val="2DEF26D6"/>
    <w:rsid w:val="2DF1003B"/>
    <w:rsid w:val="2E963E62"/>
    <w:rsid w:val="306D1BF1"/>
    <w:rsid w:val="306D759E"/>
    <w:rsid w:val="31F318DF"/>
    <w:rsid w:val="34C142E6"/>
    <w:rsid w:val="359F1FBC"/>
    <w:rsid w:val="35FA38AD"/>
    <w:rsid w:val="361B226E"/>
    <w:rsid w:val="367810B3"/>
    <w:rsid w:val="37826ABB"/>
    <w:rsid w:val="37E94405"/>
    <w:rsid w:val="3A575678"/>
    <w:rsid w:val="3A714E4B"/>
    <w:rsid w:val="3AF61E51"/>
    <w:rsid w:val="3B080C4E"/>
    <w:rsid w:val="3B24224C"/>
    <w:rsid w:val="3B466628"/>
    <w:rsid w:val="3B62557D"/>
    <w:rsid w:val="3D460945"/>
    <w:rsid w:val="3DCE45BD"/>
    <w:rsid w:val="3DD61A08"/>
    <w:rsid w:val="3E20445E"/>
    <w:rsid w:val="41DB4140"/>
    <w:rsid w:val="452D76AA"/>
    <w:rsid w:val="45942E4A"/>
    <w:rsid w:val="45CB680A"/>
    <w:rsid w:val="475C4E20"/>
    <w:rsid w:val="4AA06EDB"/>
    <w:rsid w:val="4C133E7A"/>
    <w:rsid w:val="4CE1714D"/>
    <w:rsid w:val="4D5443C7"/>
    <w:rsid w:val="4E112440"/>
    <w:rsid w:val="4E1F39C7"/>
    <w:rsid w:val="4E2D31EF"/>
    <w:rsid w:val="4E8B08D4"/>
    <w:rsid w:val="4E985EB2"/>
    <w:rsid w:val="4FC058C6"/>
    <w:rsid w:val="503806DF"/>
    <w:rsid w:val="505625BD"/>
    <w:rsid w:val="505853FE"/>
    <w:rsid w:val="510C5E54"/>
    <w:rsid w:val="51575697"/>
    <w:rsid w:val="52216A9B"/>
    <w:rsid w:val="523227C6"/>
    <w:rsid w:val="52427E13"/>
    <w:rsid w:val="53F0733D"/>
    <w:rsid w:val="547418E3"/>
    <w:rsid w:val="56FC7846"/>
    <w:rsid w:val="57E71486"/>
    <w:rsid w:val="580D626E"/>
    <w:rsid w:val="59943EF2"/>
    <w:rsid w:val="599F6880"/>
    <w:rsid w:val="59A73E93"/>
    <w:rsid w:val="5A1C03AD"/>
    <w:rsid w:val="5ADE61AD"/>
    <w:rsid w:val="5B6A6B16"/>
    <w:rsid w:val="5B9A25B0"/>
    <w:rsid w:val="5BC47C63"/>
    <w:rsid w:val="5C3D5043"/>
    <w:rsid w:val="5C5932BE"/>
    <w:rsid w:val="5C82428E"/>
    <w:rsid w:val="5CEC0DA5"/>
    <w:rsid w:val="5D357BBC"/>
    <w:rsid w:val="5E36363E"/>
    <w:rsid w:val="5F251B4F"/>
    <w:rsid w:val="5F5F4E16"/>
    <w:rsid w:val="60581E83"/>
    <w:rsid w:val="60E44589"/>
    <w:rsid w:val="614B680F"/>
    <w:rsid w:val="61BA0C84"/>
    <w:rsid w:val="62353C0D"/>
    <w:rsid w:val="64282C30"/>
    <w:rsid w:val="649D099A"/>
    <w:rsid w:val="65107FE1"/>
    <w:rsid w:val="65F118B1"/>
    <w:rsid w:val="66C467C4"/>
    <w:rsid w:val="6948010C"/>
    <w:rsid w:val="69801C11"/>
    <w:rsid w:val="6AD34C6C"/>
    <w:rsid w:val="6AE827F7"/>
    <w:rsid w:val="6B0F0E46"/>
    <w:rsid w:val="6B124E35"/>
    <w:rsid w:val="6B447DEC"/>
    <w:rsid w:val="6B527828"/>
    <w:rsid w:val="6BCA7704"/>
    <w:rsid w:val="6C2F5391"/>
    <w:rsid w:val="6D432B03"/>
    <w:rsid w:val="6DBD711E"/>
    <w:rsid w:val="6EFD0854"/>
    <w:rsid w:val="6FB94521"/>
    <w:rsid w:val="7193104E"/>
    <w:rsid w:val="72367400"/>
    <w:rsid w:val="72EE1E19"/>
    <w:rsid w:val="73110D74"/>
    <w:rsid w:val="7322493E"/>
    <w:rsid w:val="73FA3EA6"/>
    <w:rsid w:val="747D0C45"/>
    <w:rsid w:val="74E34014"/>
    <w:rsid w:val="74FD74A2"/>
    <w:rsid w:val="758A1E55"/>
    <w:rsid w:val="75B415C0"/>
    <w:rsid w:val="769A7F03"/>
    <w:rsid w:val="78D80B8B"/>
    <w:rsid w:val="79367CB0"/>
    <w:rsid w:val="794719E5"/>
    <w:rsid w:val="7AEE4ECE"/>
    <w:rsid w:val="7BE53F9A"/>
    <w:rsid w:val="7C253FBE"/>
    <w:rsid w:val="7D427B24"/>
    <w:rsid w:val="7F0832B6"/>
    <w:rsid w:val="7F1D1901"/>
    <w:rsid w:val="7F1D5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8C80-708F-4CCD-A473-B52578730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44</Pages>
  <Words>29331</Words>
  <Characters>37856</Characters>
  <Lines>323</Lines>
  <Paragraphs>91</Paragraphs>
  <TotalTime>65</TotalTime>
  <ScaleCrop>false</ScaleCrop>
  <LinksUpToDate>false</LinksUpToDate>
  <CharactersWithSpaces>40847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2024-06-19T06:01:30Z</dcterms:modified>
  <dc:subject>青岛市政府采购采购文件范本</dc:subject>
  <dc:title>青岛市政府采购采购文件范本</dc:title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2A245597FDD94AE6878ED791DC407A57_13</vt:lpwstr>
  </property>
</Properties>
</file>