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2AE4B">
      <w:pPr>
        <w:pStyle w:val="2"/>
        <w:jc w:val="center"/>
        <w:rPr>
          <w:rFonts w:ascii="黑体" w:hAnsi="黑体" w:eastAsia="黑体"/>
          <w:sz w:val="32"/>
          <w:szCs w:val="32"/>
        </w:rPr>
      </w:pPr>
      <w:bookmarkStart w:id="0" w:name="_Toc134452747"/>
      <w:bookmarkStart w:id="1" w:name="_Toc173229222"/>
      <w:r>
        <w:rPr>
          <w:rFonts w:hint="eastAsia" w:ascii="黑体" w:hAnsi="黑体" w:eastAsia="黑体"/>
          <w:sz w:val="32"/>
          <w:szCs w:val="32"/>
        </w:rPr>
        <w:t>采购公告</w:t>
      </w:r>
      <w:bookmarkEnd w:id="0"/>
      <w:bookmarkEnd w:id="1"/>
    </w:p>
    <w:p w14:paraId="71004DD8">
      <w:pPr>
        <w:widowControl/>
        <w:spacing w:line="560" w:lineRule="exact"/>
        <w:ind w:firstLine="140" w:firstLineChars="50"/>
        <w:jc w:val="left"/>
        <w:rPr>
          <w:rFonts w:ascii="仿宋" w:hAnsi="仿宋" w:eastAsia="仿宋"/>
          <w:sz w:val="28"/>
          <w:szCs w:val="28"/>
        </w:rPr>
      </w:pPr>
      <w:r>
        <w:rPr>
          <w:rFonts w:hint="eastAsia" w:ascii="仿宋" w:hAnsi="仿宋" w:eastAsia="仿宋"/>
          <w:sz w:val="28"/>
          <w:szCs w:val="28"/>
        </w:rPr>
        <w:t xml:space="preserve">    我公司现对青岛中医药传承创新基地项目变配电工程所需的电力电缆材料进行采购，欢迎符合条件的供应商参加，具体要求如下：</w:t>
      </w:r>
    </w:p>
    <w:p w14:paraId="4658DCFE">
      <w:pPr>
        <w:widowControl/>
        <w:spacing w:line="560" w:lineRule="exact"/>
        <w:ind w:firstLine="140" w:firstLineChars="50"/>
        <w:jc w:val="left"/>
        <w:rPr>
          <w:rFonts w:cs="Arial" w:asciiTheme="minorEastAsia" w:hAnsiTheme="minorEastAsia" w:eastAsiaTheme="minorEastAsia"/>
          <w:bCs/>
          <w:sz w:val="36"/>
          <w:szCs w:val="36"/>
        </w:rPr>
      </w:pPr>
      <w:r>
        <w:rPr>
          <w:rFonts w:hint="eastAsia" w:ascii="仿宋" w:hAnsi="仿宋" w:eastAsia="仿宋"/>
          <w:sz w:val="28"/>
          <w:szCs w:val="28"/>
        </w:rPr>
        <w:t xml:space="preserve">   1.项目名称：青岛中医药传承创新基地项目变配电工程电力电缆材料采购</w:t>
      </w:r>
    </w:p>
    <w:p w14:paraId="4666757D">
      <w:pPr>
        <w:pStyle w:val="16"/>
        <w:spacing w:line="560" w:lineRule="exact"/>
        <w:rPr>
          <w:rFonts w:ascii="仿宋" w:hAnsi="仿宋" w:eastAsia="仿宋"/>
          <w:sz w:val="28"/>
          <w:szCs w:val="28"/>
        </w:rPr>
      </w:pPr>
      <w:r>
        <w:rPr>
          <w:rFonts w:hint="eastAsia" w:ascii="仿宋" w:hAnsi="仿宋" w:eastAsia="仿宋"/>
          <w:sz w:val="28"/>
          <w:szCs w:val="28"/>
        </w:rPr>
        <w:t xml:space="preserve">    2.项目地点：需方指定地点</w:t>
      </w:r>
    </w:p>
    <w:p w14:paraId="709C31CB">
      <w:pPr>
        <w:pStyle w:val="16"/>
        <w:spacing w:line="560" w:lineRule="exact"/>
        <w:rPr>
          <w:rFonts w:ascii="仿宋" w:hAnsi="仿宋" w:eastAsia="仿宋"/>
          <w:sz w:val="28"/>
          <w:szCs w:val="28"/>
        </w:rPr>
      </w:pPr>
      <w:bookmarkStart w:id="2" w:name="_Toc161911529"/>
      <w:r>
        <w:rPr>
          <w:rFonts w:hint="eastAsia" w:ascii="仿宋" w:hAnsi="仿宋" w:eastAsia="仿宋"/>
          <w:sz w:val="28"/>
          <w:szCs w:val="28"/>
        </w:rPr>
        <w:t xml:space="preserve">    3.采购内容：</w:t>
      </w:r>
      <w:bookmarkEnd w:id="2"/>
      <w:r>
        <w:rPr>
          <w:rFonts w:hint="eastAsia" w:ascii="仿宋" w:hAnsi="仿宋" w:eastAsia="仿宋"/>
          <w:sz w:val="28"/>
          <w:szCs w:val="28"/>
        </w:rPr>
        <w:t>详见</w:t>
      </w:r>
      <w:r>
        <w:rPr>
          <w:rFonts w:hint="eastAsia" w:ascii="仿宋" w:hAnsi="仿宋" w:eastAsia="仿宋"/>
          <w:sz w:val="28"/>
          <w:szCs w:val="28"/>
          <w:lang w:eastAsia="zh-CN"/>
        </w:rPr>
        <w:t>《</w:t>
      </w:r>
      <w:r>
        <w:rPr>
          <w:rFonts w:hint="eastAsia" w:ascii="仿宋" w:hAnsi="仿宋" w:eastAsia="仿宋"/>
          <w:sz w:val="28"/>
          <w:szCs w:val="28"/>
          <w:lang w:val="en-US" w:eastAsia="zh-CN"/>
        </w:rPr>
        <w:t>采购需求》</w:t>
      </w:r>
      <w:bookmarkStart w:id="27" w:name="_GoBack"/>
      <w:bookmarkEnd w:id="27"/>
      <w:r>
        <w:rPr>
          <w:rFonts w:hint="eastAsia" w:ascii="仿宋" w:hAnsi="仿宋" w:eastAsia="仿宋"/>
          <w:sz w:val="28"/>
          <w:szCs w:val="28"/>
        </w:rPr>
        <w:t>附录采购清单</w:t>
      </w:r>
    </w:p>
    <w:p w14:paraId="7B7D940A">
      <w:pPr>
        <w:pStyle w:val="16"/>
        <w:spacing w:line="560" w:lineRule="exact"/>
        <w:rPr>
          <w:rFonts w:ascii="仿宋" w:hAnsi="仿宋" w:eastAsia="仿宋"/>
          <w:sz w:val="28"/>
          <w:szCs w:val="28"/>
        </w:rPr>
      </w:pPr>
      <w:r>
        <w:rPr>
          <w:rFonts w:hint="eastAsia" w:ascii="仿宋" w:hAnsi="仿宋" w:eastAsia="仿宋"/>
          <w:sz w:val="28"/>
          <w:szCs w:val="28"/>
        </w:rPr>
        <w:t xml:space="preserve">    4.采购控制价（含税价，增值税税率为13%）：1333522.78元。详见第三章附录采购清单控制价</w:t>
      </w:r>
    </w:p>
    <w:p w14:paraId="4C2BB892">
      <w:pPr>
        <w:pStyle w:val="16"/>
        <w:spacing w:line="560" w:lineRule="exact"/>
        <w:rPr>
          <w:rFonts w:ascii="仿宋" w:hAnsi="仿宋" w:eastAsia="仿宋"/>
          <w:sz w:val="28"/>
          <w:szCs w:val="28"/>
        </w:rPr>
      </w:pPr>
      <w:bookmarkStart w:id="3" w:name="_Toc134452748"/>
      <w:r>
        <w:rPr>
          <w:rFonts w:hint="eastAsia" w:ascii="仿宋" w:hAnsi="仿宋" w:eastAsia="仿宋"/>
          <w:sz w:val="28"/>
          <w:szCs w:val="28"/>
        </w:rPr>
        <w:t xml:space="preserve">    5.供应商资格要求</w:t>
      </w:r>
    </w:p>
    <w:p w14:paraId="02862008">
      <w:pPr>
        <w:pStyle w:val="16"/>
        <w:spacing w:line="560" w:lineRule="exact"/>
        <w:rPr>
          <w:rFonts w:ascii="仿宋" w:hAnsi="仿宋" w:eastAsia="仿宋" w:cs="宋体"/>
          <w:bCs/>
          <w:sz w:val="28"/>
          <w:szCs w:val="28"/>
        </w:rPr>
      </w:pPr>
      <w:r>
        <w:rPr>
          <w:rFonts w:hint="eastAsia" w:ascii="仿宋" w:hAnsi="仿宋" w:eastAsia="仿宋" w:cs="宋体"/>
          <w:bCs/>
          <w:sz w:val="28"/>
          <w:szCs w:val="28"/>
        </w:rPr>
        <w:t xml:space="preserve">    5.1供应商必须具有独立法人资格,各供应商不得有企业关联或股权关系。</w:t>
      </w:r>
    </w:p>
    <w:p w14:paraId="25649C20">
      <w:pPr>
        <w:pStyle w:val="16"/>
        <w:spacing w:line="560" w:lineRule="exact"/>
        <w:rPr>
          <w:rFonts w:ascii="仿宋" w:hAnsi="仿宋" w:eastAsia="仿宋" w:cs="宋体"/>
          <w:bCs/>
          <w:sz w:val="28"/>
          <w:szCs w:val="28"/>
        </w:rPr>
      </w:pPr>
      <w:r>
        <w:rPr>
          <w:rFonts w:hint="eastAsia" w:ascii="仿宋" w:hAnsi="仿宋" w:eastAsia="仿宋" w:cs="宋体"/>
          <w:bCs/>
          <w:sz w:val="28"/>
          <w:szCs w:val="28"/>
        </w:rPr>
        <w:t xml:space="preserve">    5.2供应商必须具备相关营业资格,所生产的产品必须符合国家、行业标准相关要求，相关主材必须具备国家认可的型式试验报告，并在人员、设备、技术、资金等方面具备相应的能力。</w:t>
      </w:r>
    </w:p>
    <w:p w14:paraId="14DB9572">
      <w:pPr>
        <w:pStyle w:val="16"/>
        <w:spacing w:line="560" w:lineRule="exact"/>
        <w:rPr>
          <w:rFonts w:ascii="仿宋" w:hAnsi="仿宋" w:eastAsia="仿宋" w:cs="宋体"/>
          <w:bCs/>
          <w:sz w:val="28"/>
          <w:szCs w:val="28"/>
        </w:rPr>
      </w:pPr>
      <w:r>
        <w:rPr>
          <w:rFonts w:hint="eastAsia" w:ascii="仿宋" w:hAnsi="仿宋" w:eastAsia="仿宋" w:cs="宋体"/>
          <w:bCs/>
          <w:sz w:val="28"/>
          <w:szCs w:val="28"/>
        </w:rPr>
        <w:t xml:space="preserve">    5.3采购公告发布之日前三年内无行贿犯罪等重大违法记录。</w:t>
      </w:r>
    </w:p>
    <w:p w14:paraId="3B00DEBF">
      <w:pPr>
        <w:pStyle w:val="16"/>
        <w:spacing w:line="560" w:lineRule="exact"/>
        <w:rPr>
          <w:rFonts w:ascii="仿宋" w:hAnsi="仿宋" w:eastAsia="仿宋" w:cs="宋体"/>
          <w:bCs/>
          <w:sz w:val="28"/>
          <w:szCs w:val="28"/>
        </w:rPr>
      </w:pPr>
      <w:bookmarkStart w:id="4" w:name="_Toc521332562"/>
      <w:r>
        <w:rPr>
          <w:rFonts w:hint="eastAsia" w:ascii="仿宋" w:hAnsi="仿宋" w:eastAsia="仿宋" w:cs="宋体"/>
          <w:bCs/>
          <w:sz w:val="28"/>
          <w:szCs w:val="28"/>
        </w:rPr>
        <w:t xml:space="preserve">    5.4通过“信用中国”网站（www.creditchina.gov.cn）、中国政府采购网（www.ccgp.gov.cn）查询，未被列入失信被执行人、重大税收违法案件当事人、政府采购严重违法失信行为记录名单。</w:t>
      </w:r>
    </w:p>
    <w:bookmarkEnd w:id="4"/>
    <w:p w14:paraId="3062DE6E">
      <w:pPr>
        <w:pStyle w:val="16"/>
        <w:spacing w:line="560" w:lineRule="exact"/>
        <w:rPr>
          <w:rFonts w:ascii="仿宋" w:hAnsi="仿宋" w:eastAsia="仿宋"/>
          <w:sz w:val="28"/>
          <w:szCs w:val="28"/>
        </w:rPr>
      </w:pPr>
      <w:r>
        <w:rPr>
          <w:rFonts w:hint="eastAsia" w:ascii="仿宋" w:hAnsi="仿宋" w:eastAsia="仿宋"/>
          <w:sz w:val="28"/>
          <w:szCs w:val="28"/>
        </w:rPr>
        <w:t xml:space="preserve">    6.资格预审及采购文件的获取</w:t>
      </w:r>
    </w:p>
    <w:p w14:paraId="3A70829D">
      <w:pPr>
        <w:pStyle w:val="16"/>
        <w:spacing w:line="560" w:lineRule="exact"/>
        <w:rPr>
          <w:rFonts w:ascii="仿宋" w:hAnsi="仿宋" w:eastAsia="仿宋"/>
          <w:sz w:val="28"/>
          <w:szCs w:val="28"/>
        </w:rPr>
      </w:pPr>
      <w:r>
        <w:rPr>
          <w:rFonts w:hint="eastAsia" w:ascii="仿宋" w:hAnsi="仿宋" w:eastAsia="仿宋"/>
          <w:sz w:val="28"/>
          <w:szCs w:val="28"/>
        </w:rPr>
        <w:t xml:space="preserve">    6.1截止时间：2024年8月5日12时00分。</w:t>
      </w:r>
    </w:p>
    <w:p w14:paraId="42A0012D">
      <w:pPr>
        <w:pStyle w:val="16"/>
        <w:spacing w:line="560" w:lineRule="exact"/>
        <w:rPr>
          <w:rFonts w:ascii="仿宋" w:hAnsi="仿宋" w:eastAsia="仿宋"/>
          <w:sz w:val="28"/>
          <w:szCs w:val="28"/>
        </w:rPr>
      </w:pPr>
      <w:r>
        <w:rPr>
          <w:rFonts w:hint="eastAsia" w:ascii="仿宋" w:hAnsi="仿宋" w:eastAsia="仿宋"/>
          <w:sz w:val="28"/>
          <w:szCs w:val="28"/>
        </w:rPr>
        <w:t xml:space="preserve">    6.2预审方式：供应商将资格审查所需材料附在一个文档里，在截止时间前发送至邮箱：gaoxinshuidian@163.com。邮件标题为供应商名称+项目名称，正文备注联系人、联系方式、采购文件接收邮箱地址。</w:t>
      </w:r>
      <w:r>
        <w:rPr>
          <w:rStyle w:val="38"/>
          <w:rFonts w:hint="eastAsia" w:ascii="仿宋" w:hAnsi="仿宋" w:eastAsia="仿宋" w:cs="仿宋"/>
          <w:szCs w:val="28"/>
        </w:rPr>
        <w:t>由采购人受理后，通过邮箱向审查合格的供应商发放采购文件。</w:t>
      </w:r>
    </w:p>
    <w:p w14:paraId="163471A2">
      <w:pPr>
        <w:pStyle w:val="16"/>
        <w:spacing w:line="560" w:lineRule="exact"/>
        <w:rPr>
          <w:rFonts w:ascii="仿宋" w:hAnsi="仿宋" w:eastAsia="仿宋"/>
          <w:sz w:val="28"/>
          <w:szCs w:val="28"/>
        </w:rPr>
      </w:pPr>
      <w:r>
        <w:rPr>
          <w:rFonts w:hint="eastAsia" w:ascii="仿宋" w:hAnsi="仿宋" w:eastAsia="仿宋"/>
          <w:sz w:val="28"/>
          <w:szCs w:val="28"/>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等材料，以上材料均需加盖供应商公章。</w:t>
      </w:r>
    </w:p>
    <w:p w14:paraId="491BD626">
      <w:pPr>
        <w:pStyle w:val="16"/>
        <w:spacing w:line="560" w:lineRule="exact"/>
        <w:rPr>
          <w:rFonts w:ascii="仿宋" w:hAnsi="仿宋" w:eastAsia="仿宋"/>
          <w:sz w:val="28"/>
          <w:szCs w:val="28"/>
        </w:rPr>
      </w:pPr>
      <w:r>
        <w:rPr>
          <w:rFonts w:hint="eastAsia" w:ascii="仿宋" w:hAnsi="仿宋" w:eastAsia="仿宋"/>
          <w:sz w:val="28"/>
          <w:szCs w:val="28"/>
        </w:rPr>
        <w:t xml:space="preserve">    7.响应文件递交时间以及地点</w:t>
      </w:r>
    </w:p>
    <w:p w14:paraId="593D7F66">
      <w:pPr>
        <w:pStyle w:val="16"/>
        <w:spacing w:line="560" w:lineRule="exact"/>
        <w:rPr>
          <w:rFonts w:ascii="仿宋" w:hAnsi="仿宋" w:eastAsia="仿宋"/>
          <w:sz w:val="28"/>
          <w:szCs w:val="28"/>
        </w:rPr>
      </w:pPr>
      <w:r>
        <w:rPr>
          <w:rFonts w:hint="eastAsia" w:ascii="仿宋" w:hAnsi="仿宋" w:eastAsia="仿宋"/>
          <w:sz w:val="28"/>
          <w:szCs w:val="28"/>
        </w:rPr>
        <w:t xml:space="preserve">    7.1时间：2024年8 月9日13时30分至14时00 分。</w:t>
      </w:r>
    </w:p>
    <w:p w14:paraId="1C6C566F">
      <w:pPr>
        <w:pStyle w:val="16"/>
        <w:spacing w:line="560" w:lineRule="exact"/>
        <w:rPr>
          <w:rFonts w:ascii="仿宋" w:hAnsi="仿宋" w:eastAsia="仿宋"/>
          <w:sz w:val="28"/>
          <w:szCs w:val="28"/>
        </w:rPr>
      </w:pPr>
      <w:r>
        <w:rPr>
          <w:rFonts w:hint="eastAsia" w:ascii="仿宋" w:hAnsi="仿宋" w:eastAsia="仿宋"/>
          <w:sz w:val="28"/>
          <w:szCs w:val="28"/>
        </w:rPr>
        <w:t xml:space="preserve">    7.2地点：青岛市高新区河东路以北、岙东路以东高新电力4楼会议室。</w:t>
      </w:r>
    </w:p>
    <w:p w14:paraId="7242681F">
      <w:pPr>
        <w:pStyle w:val="16"/>
        <w:spacing w:line="560" w:lineRule="exact"/>
        <w:rPr>
          <w:rFonts w:ascii="仿宋" w:hAnsi="仿宋" w:eastAsia="仿宋"/>
          <w:sz w:val="28"/>
          <w:szCs w:val="28"/>
        </w:rPr>
      </w:pPr>
      <w:r>
        <w:rPr>
          <w:rFonts w:hint="eastAsia" w:ascii="仿宋" w:hAnsi="仿宋" w:eastAsia="仿宋"/>
          <w:sz w:val="28"/>
          <w:szCs w:val="28"/>
        </w:rPr>
        <w:t xml:space="preserve">    8.磋商时间以及地点</w:t>
      </w:r>
    </w:p>
    <w:p w14:paraId="11A1D2C8">
      <w:pPr>
        <w:pStyle w:val="16"/>
        <w:spacing w:line="560" w:lineRule="exact"/>
        <w:rPr>
          <w:rFonts w:ascii="仿宋" w:hAnsi="仿宋" w:eastAsia="仿宋"/>
          <w:sz w:val="28"/>
          <w:szCs w:val="28"/>
        </w:rPr>
      </w:pPr>
      <w:r>
        <w:rPr>
          <w:rFonts w:hint="eastAsia" w:ascii="仿宋" w:hAnsi="仿宋" w:eastAsia="仿宋"/>
          <w:sz w:val="28"/>
          <w:szCs w:val="28"/>
        </w:rPr>
        <w:t xml:space="preserve">    8.1时间：2024年8月9日14时00 分。</w:t>
      </w:r>
    </w:p>
    <w:p w14:paraId="233D83D2">
      <w:pPr>
        <w:pStyle w:val="16"/>
        <w:spacing w:line="560" w:lineRule="exact"/>
        <w:rPr>
          <w:rFonts w:ascii="仿宋" w:hAnsi="仿宋" w:eastAsia="仿宋"/>
          <w:sz w:val="28"/>
          <w:szCs w:val="28"/>
        </w:rPr>
      </w:pPr>
      <w:r>
        <w:rPr>
          <w:rFonts w:hint="eastAsia" w:ascii="仿宋" w:hAnsi="仿宋" w:eastAsia="仿宋"/>
          <w:sz w:val="28"/>
          <w:szCs w:val="28"/>
        </w:rPr>
        <w:t xml:space="preserve">    8.2地点：青岛市高新区河东路以北、岙东路以东高新电力4楼会议室。</w:t>
      </w:r>
    </w:p>
    <w:p w14:paraId="128CBDDA">
      <w:pPr>
        <w:pStyle w:val="16"/>
        <w:spacing w:line="560" w:lineRule="exact"/>
        <w:rPr>
          <w:rFonts w:ascii="仿宋" w:hAnsi="仿宋" w:eastAsia="仿宋"/>
          <w:sz w:val="28"/>
          <w:szCs w:val="28"/>
        </w:rPr>
      </w:pPr>
      <w:r>
        <w:rPr>
          <w:rFonts w:hint="eastAsia" w:ascii="仿宋" w:hAnsi="仿宋" w:eastAsia="仿宋"/>
          <w:sz w:val="28"/>
          <w:szCs w:val="28"/>
        </w:rPr>
        <w:t xml:space="preserve">    9.联系方式</w:t>
      </w:r>
    </w:p>
    <w:p w14:paraId="27125752">
      <w:pPr>
        <w:pStyle w:val="16"/>
        <w:spacing w:line="560" w:lineRule="exact"/>
        <w:rPr>
          <w:rFonts w:ascii="仿宋" w:hAnsi="仿宋" w:eastAsia="仿宋"/>
          <w:sz w:val="28"/>
          <w:szCs w:val="28"/>
        </w:rPr>
      </w:pPr>
      <w:r>
        <w:rPr>
          <w:rFonts w:hint="eastAsia" w:ascii="仿宋" w:hAnsi="仿宋" w:eastAsia="仿宋"/>
          <w:sz w:val="28"/>
          <w:szCs w:val="28"/>
        </w:rPr>
        <w:t xml:space="preserve">    9.1采购人：青岛高新电力发展有限公司</w:t>
      </w:r>
    </w:p>
    <w:p w14:paraId="4EFC3F84">
      <w:pPr>
        <w:pStyle w:val="16"/>
        <w:spacing w:line="560" w:lineRule="exact"/>
        <w:rPr>
          <w:rFonts w:ascii="仿宋" w:hAnsi="仿宋" w:eastAsia="仿宋"/>
          <w:sz w:val="28"/>
          <w:szCs w:val="28"/>
        </w:rPr>
      </w:pPr>
      <w:r>
        <w:rPr>
          <w:rFonts w:hint="eastAsia" w:ascii="仿宋" w:hAnsi="仿宋" w:eastAsia="仿宋"/>
          <w:sz w:val="28"/>
          <w:szCs w:val="28"/>
        </w:rPr>
        <w:t xml:space="preserve">    联 系 人：纪虹延</w:t>
      </w:r>
    </w:p>
    <w:p w14:paraId="38D2E57D">
      <w:pPr>
        <w:pStyle w:val="16"/>
        <w:spacing w:line="560" w:lineRule="exact"/>
        <w:rPr>
          <w:rFonts w:ascii="仿宋" w:hAnsi="仿宋" w:eastAsia="仿宋"/>
          <w:sz w:val="28"/>
          <w:szCs w:val="28"/>
        </w:rPr>
      </w:pPr>
      <w:r>
        <w:rPr>
          <w:rFonts w:hint="eastAsia" w:ascii="仿宋" w:hAnsi="仿宋" w:eastAsia="仿宋"/>
          <w:sz w:val="28"/>
          <w:szCs w:val="28"/>
        </w:rPr>
        <w:t xml:space="preserve">    电    话：0532-68687097</w:t>
      </w:r>
    </w:p>
    <w:p w14:paraId="140341B4">
      <w:pPr>
        <w:pStyle w:val="16"/>
        <w:spacing w:line="560" w:lineRule="exact"/>
        <w:rPr>
          <w:rFonts w:ascii="仿宋" w:hAnsi="仿宋" w:eastAsia="仿宋"/>
          <w:sz w:val="28"/>
          <w:szCs w:val="28"/>
        </w:rPr>
      </w:pPr>
      <w:r>
        <w:rPr>
          <w:rFonts w:hint="eastAsia" w:ascii="仿宋" w:hAnsi="仿宋" w:eastAsia="仿宋"/>
          <w:sz w:val="28"/>
          <w:szCs w:val="28"/>
        </w:rPr>
        <w:t xml:space="preserve">    地    址：青岛市高新区河东路以北、岙东路以东</w:t>
      </w:r>
    </w:p>
    <w:p w14:paraId="46011BAB">
      <w:pPr>
        <w:pStyle w:val="16"/>
        <w:spacing w:line="560" w:lineRule="exact"/>
        <w:rPr>
          <w:rFonts w:ascii="仿宋" w:hAnsi="仿宋" w:eastAsia="仿宋"/>
          <w:sz w:val="28"/>
          <w:szCs w:val="28"/>
        </w:rPr>
      </w:pPr>
    </w:p>
    <w:p w14:paraId="6CB99549">
      <w:pPr>
        <w:pStyle w:val="16"/>
        <w:spacing w:line="560" w:lineRule="exact"/>
        <w:rPr>
          <w:rFonts w:ascii="仿宋" w:hAnsi="仿宋" w:eastAsia="仿宋"/>
          <w:sz w:val="28"/>
          <w:szCs w:val="28"/>
        </w:rPr>
      </w:pPr>
    </w:p>
    <w:p w14:paraId="730D6DBE">
      <w:pPr>
        <w:pStyle w:val="16"/>
        <w:spacing w:line="560" w:lineRule="exact"/>
        <w:rPr>
          <w:rFonts w:ascii="仿宋" w:hAnsi="仿宋" w:eastAsia="仿宋"/>
          <w:sz w:val="28"/>
          <w:szCs w:val="28"/>
        </w:rPr>
      </w:pPr>
      <w:r>
        <w:rPr>
          <w:rFonts w:hint="eastAsia" w:ascii="仿宋" w:hAnsi="仿宋" w:eastAsia="仿宋"/>
          <w:sz w:val="28"/>
          <w:szCs w:val="28"/>
        </w:rPr>
        <w:t xml:space="preserve">                                                  2024年8月4日</w:t>
      </w:r>
    </w:p>
    <w:p w14:paraId="2A5C194A">
      <w:pPr>
        <w:widowControl/>
        <w:jc w:val="left"/>
        <w:rPr>
          <w:rFonts w:ascii="黑体" w:hAnsi="黑体" w:eastAsia="黑体" w:cs="Arial"/>
          <w:b/>
          <w:bCs/>
          <w:kern w:val="44"/>
          <w:sz w:val="32"/>
          <w:szCs w:val="32"/>
        </w:rPr>
      </w:pPr>
      <w:r>
        <w:rPr>
          <w:rFonts w:ascii="黑体" w:hAnsi="黑体" w:eastAsia="黑体"/>
          <w:sz w:val="32"/>
          <w:szCs w:val="32"/>
        </w:rPr>
        <w:br w:type="page"/>
      </w:r>
    </w:p>
    <w:bookmarkEnd w:id="3"/>
    <w:p w14:paraId="25123191">
      <w:pPr>
        <w:spacing w:line="520" w:lineRule="exact"/>
        <w:jc w:val="center"/>
        <w:outlineLvl w:val="0"/>
        <w:rPr>
          <w:rFonts w:ascii="黑体" w:hAnsi="黑体" w:eastAsia="黑体" w:cs="黑体"/>
          <w:bCs/>
          <w:sz w:val="32"/>
          <w:szCs w:val="32"/>
        </w:rPr>
      </w:pPr>
      <w:bookmarkStart w:id="5" w:name="_Toc173229224"/>
      <w:bookmarkStart w:id="6" w:name="_Toc134452749"/>
      <w:r>
        <w:rPr>
          <w:rFonts w:hint="eastAsia" w:ascii="黑体" w:hAnsi="黑体" w:eastAsia="黑体" w:cs="黑体"/>
          <w:bCs/>
          <w:sz w:val="32"/>
          <w:szCs w:val="32"/>
        </w:rPr>
        <w:t>采购需求</w:t>
      </w:r>
      <w:bookmarkEnd w:id="5"/>
      <w:bookmarkEnd w:id="6"/>
      <w:bookmarkStart w:id="7" w:name="_Toc134452750"/>
    </w:p>
    <w:p w14:paraId="5616EA0F">
      <w:pPr>
        <w:spacing w:line="520" w:lineRule="exact"/>
        <w:ind w:firstLine="560" w:firstLineChars="200"/>
        <w:outlineLvl w:val="0"/>
        <w:rPr>
          <w:rFonts w:asciiTheme="minorEastAsia" w:hAnsiTheme="minorEastAsia" w:eastAsiaTheme="minorEastAsia"/>
          <w:sz w:val="28"/>
          <w:szCs w:val="28"/>
        </w:rPr>
      </w:pPr>
    </w:p>
    <w:bookmarkEnd w:id="7"/>
    <w:p w14:paraId="281D94FF">
      <w:pPr>
        <w:pStyle w:val="4"/>
        <w:jc w:val="left"/>
        <w:rPr>
          <w:rFonts w:asciiTheme="minorEastAsia" w:hAnsiTheme="minorEastAsia" w:eastAsiaTheme="minorEastAsia"/>
        </w:rPr>
      </w:pPr>
      <w:bookmarkStart w:id="8" w:name="_Toc173229225"/>
      <w:r>
        <w:rPr>
          <w:rFonts w:hint="eastAsia" w:asciiTheme="minorEastAsia" w:hAnsiTheme="minorEastAsia" w:eastAsiaTheme="minorEastAsia"/>
          <w:sz w:val="28"/>
          <w:szCs w:val="28"/>
        </w:rPr>
        <w:t>1.采购产品规格型号及采购数量</w:t>
      </w:r>
      <w:bookmarkStart w:id="9" w:name="_Toc134452751"/>
      <w:r>
        <w:rPr>
          <w:rFonts w:hint="eastAsia" w:asciiTheme="minorEastAsia" w:hAnsiTheme="minorEastAsia" w:eastAsiaTheme="minorEastAsia"/>
          <w:sz w:val="28"/>
          <w:szCs w:val="28"/>
        </w:rPr>
        <w:t>：</w:t>
      </w:r>
      <w:r>
        <w:rPr>
          <w:rStyle w:val="44"/>
          <w:rFonts w:hint="eastAsia" w:ascii="仿宋" w:hAnsi="仿宋" w:eastAsia="仿宋"/>
          <w:b w:val="0"/>
          <w:sz w:val="28"/>
          <w:szCs w:val="28"/>
        </w:rPr>
        <w:t>详见清单</w:t>
      </w:r>
      <w:bookmarkEnd w:id="8"/>
    </w:p>
    <w:p w14:paraId="1690C719">
      <w:pPr>
        <w:pStyle w:val="4"/>
        <w:jc w:val="left"/>
        <w:rPr>
          <w:rFonts w:asciiTheme="minorEastAsia" w:hAnsiTheme="minorEastAsia" w:eastAsiaTheme="minorEastAsia"/>
          <w:sz w:val="28"/>
          <w:szCs w:val="28"/>
        </w:rPr>
      </w:pPr>
      <w:bookmarkStart w:id="10" w:name="_Toc173229226"/>
      <w:r>
        <w:rPr>
          <w:rFonts w:hint="eastAsia" w:asciiTheme="minorEastAsia" w:hAnsiTheme="minorEastAsia" w:eastAsiaTheme="minorEastAsia"/>
          <w:sz w:val="28"/>
          <w:szCs w:val="28"/>
        </w:rPr>
        <w:t>2.技术要求</w:t>
      </w:r>
      <w:bookmarkEnd w:id="9"/>
      <w:bookmarkEnd w:id="10"/>
    </w:p>
    <w:p w14:paraId="398EEC14">
      <w:pPr>
        <w:spacing w:line="560" w:lineRule="exact"/>
        <w:ind w:firstLine="560" w:firstLineChars="200"/>
        <w:rPr>
          <w:rFonts w:ascii="仿宋" w:hAnsi="仿宋" w:eastAsia="仿宋"/>
          <w:sz w:val="28"/>
          <w:szCs w:val="28"/>
        </w:rPr>
      </w:pPr>
      <w:bookmarkStart w:id="11" w:name="_Toc138080267"/>
      <w:bookmarkStart w:id="12" w:name="_Toc134452755"/>
      <w:bookmarkStart w:id="13" w:name="_Toc134452756"/>
      <w:r>
        <w:rPr>
          <w:rFonts w:hint="eastAsia" w:ascii="仿宋" w:hAnsi="仿宋" w:eastAsia="仿宋"/>
          <w:sz w:val="28"/>
          <w:szCs w:val="28"/>
        </w:rPr>
        <w:t>★2.1.供方需保证其所提供的产品必须是合同所确定的正宗原装产品，其型号、规格必须符合招标产品所列的各项参数，质量必须达到国家标准及行业质量标准，严禁使用不合格材料，假一罚十；所附各种资料及配件（软件）等必须齐全。</w:t>
      </w:r>
    </w:p>
    <w:p w14:paraId="0ACD81FF">
      <w:pPr>
        <w:spacing w:line="560" w:lineRule="exact"/>
        <w:ind w:firstLine="700" w:firstLineChars="250"/>
        <w:rPr>
          <w:rFonts w:ascii="仿宋" w:hAnsi="仿宋" w:eastAsia="仿宋"/>
          <w:sz w:val="28"/>
          <w:szCs w:val="28"/>
        </w:rPr>
      </w:pPr>
      <w:r>
        <w:rPr>
          <w:rFonts w:hint="eastAsia" w:ascii="仿宋" w:hAnsi="仿宋" w:eastAsia="仿宋"/>
          <w:sz w:val="28"/>
          <w:szCs w:val="28"/>
        </w:rPr>
        <w:t>2.2.产品的验收按照国家标准、行业标准及国网验收规范进行，如相关产品所用工程项目验收中，属国网供电公司电源系统，未通过国网验收的情形，需方有权进行退货处理。</w:t>
      </w:r>
    </w:p>
    <w:p w14:paraId="19F64CA8">
      <w:pPr>
        <w:spacing w:line="560" w:lineRule="exact"/>
        <w:ind w:firstLine="560" w:firstLineChars="200"/>
        <w:rPr>
          <w:rFonts w:ascii="仿宋" w:hAnsi="仿宋" w:eastAsia="仿宋"/>
          <w:sz w:val="28"/>
          <w:szCs w:val="28"/>
        </w:rPr>
      </w:pPr>
      <w:r>
        <w:rPr>
          <w:rFonts w:hint="eastAsia" w:ascii="仿宋" w:hAnsi="仿宋" w:eastAsia="仿宋"/>
          <w:sz w:val="28"/>
          <w:szCs w:val="28"/>
        </w:rPr>
        <w:t>★2.3.成交人需随货提供产品合格证、生产许可证，出厂试验报告、型式报告等。</w:t>
      </w:r>
    </w:p>
    <w:p w14:paraId="2FA445D3">
      <w:pPr>
        <w:spacing w:line="560" w:lineRule="exact"/>
        <w:ind w:firstLine="560" w:firstLineChars="200"/>
        <w:rPr>
          <w:rFonts w:ascii="仿宋" w:hAnsi="仿宋" w:eastAsia="仿宋"/>
          <w:sz w:val="28"/>
          <w:szCs w:val="28"/>
        </w:rPr>
      </w:pPr>
      <w:r>
        <w:rPr>
          <w:rFonts w:hint="eastAsia" w:ascii="仿宋" w:hAnsi="仿宋" w:eastAsia="仿宋"/>
          <w:sz w:val="28"/>
          <w:szCs w:val="28"/>
        </w:rPr>
        <w:t>★2.4.供货期：签订合同后7日内交货。</w:t>
      </w:r>
    </w:p>
    <w:p w14:paraId="2A317490">
      <w:pPr>
        <w:spacing w:line="560" w:lineRule="exact"/>
        <w:ind w:firstLine="840" w:firstLineChars="300"/>
        <w:rPr>
          <w:rFonts w:ascii="仿宋" w:hAnsi="仿宋" w:eastAsia="仿宋"/>
          <w:sz w:val="28"/>
          <w:szCs w:val="28"/>
        </w:rPr>
      </w:pPr>
      <w:r>
        <w:rPr>
          <w:rFonts w:hint="eastAsia" w:ascii="仿宋" w:hAnsi="仿宋" w:eastAsia="仿宋"/>
          <w:sz w:val="28"/>
          <w:szCs w:val="28"/>
        </w:rPr>
        <w:t>2.5.服务地点：采购人指定地点。</w:t>
      </w:r>
    </w:p>
    <w:p w14:paraId="041F25D8">
      <w:pPr>
        <w:pStyle w:val="4"/>
        <w:jc w:val="left"/>
        <w:rPr>
          <w:rFonts w:asciiTheme="minorEastAsia" w:hAnsiTheme="minorEastAsia" w:eastAsiaTheme="minorEastAsia"/>
          <w:sz w:val="28"/>
          <w:szCs w:val="28"/>
        </w:rPr>
      </w:pPr>
      <w:bookmarkStart w:id="14" w:name="_Toc173229227"/>
      <w:r>
        <w:rPr>
          <w:rFonts w:hint="eastAsia" w:asciiTheme="minorEastAsia" w:hAnsiTheme="minorEastAsia" w:eastAsiaTheme="minorEastAsia"/>
          <w:sz w:val="28"/>
          <w:szCs w:val="28"/>
        </w:rPr>
        <w:t>★3.付款方式</w:t>
      </w:r>
      <w:bookmarkEnd w:id="11"/>
      <w:bookmarkEnd w:id="14"/>
    </w:p>
    <w:bookmarkEnd w:id="12"/>
    <w:p w14:paraId="384B3D82">
      <w:pPr>
        <w:spacing w:line="560" w:lineRule="exact"/>
        <w:ind w:firstLine="560" w:firstLineChars="200"/>
        <w:rPr>
          <w:rFonts w:ascii="仿宋" w:hAnsi="仿宋" w:eastAsia="仿宋"/>
          <w:sz w:val="28"/>
          <w:szCs w:val="28"/>
        </w:rPr>
      </w:pPr>
      <w:r>
        <w:rPr>
          <w:rFonts w:hint="eastAsia" w:ascii="仿宋" w:hAnsi="仿宋" w:eastAsia="仿宋"/>
          <w:sz w:val="28"/>
          <w:szCs w:val="28"/>
        </w:rPr>
        <w:t>签订合同后，需方预付20%预付款，供方组织电缆材料生产，产品到货验收合格后三个月后付至总货款的95％，供方需一次性开具全额增值税专用发票，13%税率，如遇税率调整，按照最新税率政策执行，剩余5％质保期满后一次性付清。</w:t>
      </w:r>
    </w:p>
    <w:p w14:paraId="584C4FA3">
      <w:pPr>
        <w:pStyle w:val="4"/>
        <w:jc w:val="left"/>
        <w:rPr>
          <w:rFonts w:asciiTheme="minorEastAsia" w:hAnsiTheme="minorEastAsia" w:eastAsiaTheme="minorEastAsia"/>
          <w:sz w:val="28"/>
          <w:szCs w:val="28"/>
        </w:rPr>
      </w:pPr>
      <w:bookmarkStart w:id="15" w:name="_Toc173229228"/>
      <w:r>
        <w:rPr>
          <w:rFonts w:hint="eastAsia" w:asciiTheme="minorEastAsia" w:hAnsiTheme="minorEastAsia" w:eastAsiaTheme="minorEastAsia"/>
          <w:sz w:val="28"/>
          <w:szCs w:val="28"/>
        </w:rPr>
        <w:t>4.验收</w:t>
      </w:r>
      <w:bookmarkEnd w:id="15"/>
    </w:p>
    <w:p w14:paraId="7D49B436">
      <w:pPr>
        <w:spacing w:line="560" w:lineRule="exact"/>
        <w:ind w:firstLine="560" w:firstLineChars="200"/>
        <w:rPr>
          <w:rFonts w:ascii="仿宋" w:hAnsi="仿宋" w:eastAsia="仿宋"/>
          <w:sz w:val="28"/>
          <w:szCs w:val="28"/>
        </w:rPr>
      </w:pPr>
      <w:r>
        <w:rPr>
          <w:rFonts w:hint="eastAsia" w:ascii="仿宋" w:hAnsi="仿宋" w:eastAsia="仿宋"/>
          <w:sz w:val="28"/>
          <w:szCs w:val="28"/>
        </w:rPr>
        <w:t>4.1货物运抵现场后，采购人将对货物数量、质量、规格等进行检验。如发现货物和规格或者两者都与采购文件、响应文件、合同不符，采购人有权限根据检验结果要求成交人立即更换或者提出索赔要求。</w:t>
      </w:r>
    </w:p>
    <w:p w14:paraId="09A6D5CB">
      <w:pPr>
        <w:spacing w:line="56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hint="eastAsia" w:ascii="仿宋" w:hAnsi="仿宋" w:eastAsia="仿宋"/>
          <w:sz w:val="28"/>
          <w:szCs w:val="28"/>
        </w:rPr>
        <w:t>产品到货后由采购人对货物进行详细而全面的检验，证明货物质量无任何问题，作为付款凭据之一。</w:t>
      </w:r>
    </w:p>
    <w:p w14:paraId="71610D55">
      <w:pPr>
        <w:pStyle w:val="4"/>
        <w:jc w:val="left"/>
        <w:rPr>
          <w:rFonts w:asciiTheme="minorEastAsia" w:hAnsiTheme="minorEastAsia" w:eastAsiaTheme="minorEastAsia"/>
          <w:sz w:val="28"/>
          <w:szCs w:val="28"/>
        </w:rPr>
      </w:pPr>
      <w:bookmarkStart w:id="16" w:name="_Toc173229229"/>
      <w:r>
        <w:rPr>
          <w:rFonts w:hint="eastAsia" w:asciiTheme="minorEastAsia" w:hAnsiTheme="minorEastAsia" w:eastAsiaTheme="minorEastAsia"/>
          <w:sz w:val="28"/>
          <w:szCs w:val="28"/>
        </w:rPr>
        <w:t>5.</w:t>
      </w:r>
      <w:bookmarkEnd w:id="13"/>
      <w:r>
        <w:rPr>
          <w:rFonts w:hint="eastAsia" w:asciiTheme="minorEastAsia" w:hAnsiTheme="minorEastAsia" w:eastAsiaTheme="minorEastAsia"/>
          <w:sz w:val="28"/>
          <w:szCs w:val="28"/>
        </w:rPr>
        <w:t>质量保证期</w:t>
      </w:r>
      <w:bookmarkEnd w:id="16"/>
    </w:p>
    <w:p w14:paraId="3F9A15A6">
      <w:pPr>
        <w:spacing w:line="560" w:lineRule="exact"/>
        <w:ind w:firstLine="560" w:firstLineChars="200"/>
        <w:rPr>
          <w:rFonts w:ascii="仿宋" w:hAnsi="仿宋" w:eastAsia="仿宋"/>
          <w:sz w:val="28"/>
          <w:szCs w:val="28"/>
        </w:rPr>
      </w:pPr>
      <w:r>
        <w:rPr>
          <w:rFonts w:hint="eastAsia" w:ascii="仿宋" w:hAnsi="仿宋" w:eastAsia="仿宋"/>
          <w:sz w:val="28"/>
          <w:szCs w:val="28"/>
        </w:rPr>
        <w:t>质保期：质保期为一年，在质保期头三个月内，如产品运行有严重质量的问题或质量缺陷，供方应免费予以更换，以保证需方正常运行。</w:t>
      </w:r>
    </w:p>
    <w:p w14:paraId="766B10DC">
      <w:pPr>
        <w:pStyle w:val="4"/>
        <w:jc w:val="left"/>
        <w:rPr>
          <w:rFonts w:asciiTheme="minorEastAsia" w:hAnsiTheme="minorEastAsia" w:eastAsiaTheme="minorEastAsia"/>
          <w:sz w:val="28"/>
          <w:szCs w:val="28"/>
        </w:rPr>
      </w:pPr>
      <w:bookmarkStart w:id="17" w:name="_Toc173229230"/>
      <w:r>
        <w:rPr>
          <w:rFonts w:hint="eastAsia" w:asciiTheme="minorEastAsia" w:hAnsiTheme="minorEastAsia" w:eastAsiaTheme="minorEastAsia"/>
          <w:sz w:val="28"/>
          <w:szCs w:val="28"/>
        </w:rPr>
        <w:t>6.售后服务</w:t>
      </w:r>
      <w:bookmarkEnd w:id="17"/>
    </w:p>
    <w:p w14:paraId="3224DEF8">
      <w:pPr>
        <w:spacing w:line="560" w:lineRule="exact"/>
        <w:ind w:firstLine="560" w:firstLineChars="200"/>
        <w:rPr>
          <w:rFonts w:ascii="仿宋" w:hAnsi="仿宋" w:eastAsia="仿宋"/>
          <w:sz w:val="28"/>
          <w:szCs w:val="28"/>
        </w:rPr>
      </w:pPr>
      <w:r>
        <w:rPr>
          <w:rFonts w:hint="eastAsia" w:ascii="仿宋" w:hAnsi="仿宋" w:eastAsia="仿宋"/>
          <w:sz w:val="28"/>
          <w:szCs w:val="28"/>
        </w:rPr>
        <w:t>6.1.成交人应提供及时周到的售后服务，应保证每季度至少一次上门回访、检修。</w:t>
      </w:r>
    </w:p>
    <w:p w14:paraId="082D6A18">
      <w:pPr>
        <w:spacing w:line="560" w:lineRule="exact"/>
        <w:ind w:firstLine="560" w:firstLineChars="200"/>
        <w:rPr>
          <w:rFonts w:ascii="仿宋" w:hAnsi="仿宋" w:eastAsia="仿宋"/>
          <w:sz w:val="28"/>
          <w:szCs w:val="28"/>
        </w:rPr>
      </w:pPr>
      <w:r>
        <w:rPr>
          <w:rFonts w:hint="eastAsia" w:ascii="仿宋" w:hAnsi="仿宋" w:eastAsia="仿宋"/>
          <w:sz w:val="28"/>
          <w:szCs w:val="28"/>
        </w:rPr>
        <w:t>6.2成交人在接采购人通知1小时做出响应，2小时内到达现场，24小时内维修完毕。</w:t>
      </w:r>
    </w:p>
    <w:p w14:paraId="3D66A236">
      <w:pPr>
        <w:pStyle w:val="4"/>
        <w:jc w:val="left"/>
        <w:rPr>
          <w:rFonts w:asciiTheme="minorEastAsia" w:hAnsiTheme="minorEastAsia" w:eastAsiaTheme="minorEastAsia"/>
          <w:sz w:val="28"/>
          <w:szCs w:val="28"/>
        </w:rPr>
      </w:pPr>
      <w:bookmarkStart w:id="18" w:name="_Toc173229231"/>
      <w:r>
        <w:rPr>
          <w:rFonts w:hint="eastAsia" w:ascii="仿宋" w:hAnsi="仿宋" w:eastAsia="仿宋"/>
          <w:sz w:val="28"/>
          <w:szCs w:val="28"/>
        </w:rPr>
        <w:t>★</w:t>
      </w:r>
      <w:r>
        <w:rPr>
          <w:rFonts w:hint="eastAsia" w:asciiTheme="minorEastAsia" w:hAnsiTheme="minorEastAsia" w:eastAsiaTheme="minorEastAsia"/>
          <w:sz w:val="28"/>
          <w:szCs w:val="28"/>
        </w:rPr>
        <w:t>7、品牌要求：</w:t>
      </w:r>
      <w:bookmarkEnd w:id="18"/>
    </w:p>
    <w:p w14:paraId="37153A52">
      <w:pPr>
        <w:pStyle w:val="4"/>
        <w:jc w:val="left"/>
        <w:rPr>
          <w:rFonts w:ascii="仿宋" w:hAnsi="仿宋" w:eastAsia="仿宋"/>
          <w:b w:val="0"/>
          <w:bCs w:val="0"/>
          <w:sz w:val="28"/>
          <w:szCs w:val="28"/>
        </w:rPr>
      </w:pPr>
      <w:r>
        <w:rPr>
          <w:rFonts w:hint="eastAsia" w:asciiTheme="minorEastAsia" w:hAnsiTheme="minorEastAsia" w:eastAsiaTheme="minorEastAsia"/>
          <w:sz w:val="28"/>
          <w:szCs w:val="28"/>
        </w:rPr>
        <w:t xml:space="preserve">    </w:t>
      </w:r>
      <w:bookmarkStart w:id="19" w:name="_Toc173229232"/>
      <w:r>
        <w:rPr>
          <w:rFonts w:hint="eastAsia" w:ascii="仿宋" w:hAnsi="仿宋" w:eastAsia="仿宋"/>
          <w:b w:val="0"/>
          <w:bCs w:val="0"/>
          <w:sz w:val="28"/>
          <w:szCs w:val="28"/>
        </w:rPr>
        <w:t>远东、万马、宝胜、上上、江南、起凡、汉缆</w:t>
      </w:r>
      <w:bookmarkEnd w:id="19"/>
    </w:p>
    <w:p w14:paraId="5768D28D">
      <w:pPr>
        <w:spacing w:line="560" w:lineRule="exact"/>
        <w:rPr>
          <w:rFonts w:ascii="仿宋" w:hAnsi="仿宋" w:eastAsia="仿宋"/>
          <w:sz w:val="28"/>
          <w:szCs w:val="28"/>
        </w:rPr>
      </w:pPr>
      <w:r>
        <w:rPr>
          <w:rFonts w:hint="eastAsia" w:ascii="仿宋" w:hAnsi="仿宋" w:eastAsia="仿宋"/>
          <w:sz w:val="28"/>
          <w:szCs w:val="28"/>
        </w:rPr>
        <w:t xml:space="preserve">    带“★”条款为实质性条款，成交人必须按照采购文件的要求做出实质性响应。</w:t>
      </w:r>
    </w:p>
    <w:p w14:paraId="1D2A7EEB">
      <w:pPr>
        <w:spacing w:line="360" w:lineRule="auto"/>
        <w:rPr>
          <w:rFonts w:ascii="仿宋" w:hAnsi="仿宋" w:eastAsia="仿宋"/>
          <w:b/>
          <w:bCs/>
          <w:sz w:val="28"/>
          <w:szCs w:val="28"/>
        </w:rPr>
      </w:pPr>
    </w:p>
    <w:p w14:paraId="17E657F1">
      <w:pPr>
        <w:spacing w:line="360" w:lineRule="auto"/>
        <w:rPr>
          <w:rFonts w:ascii="仿宋" w:hAnsi="仿宋" w:eastAsia="仿宋"/>
          <w:b/>
          <w:bCs/>
          <w:sz w:val="28"/>
          <w:szCs w:val="28"/>
        </w:rPr>
      </w:pPr>
    </w:p>
    <w:p w14:paraId="22C41098">
      <w:pPr>
        <w:spacing w:line="360" w:lineRule="auto"/>
      </w:pPr>
      <w:r>
        <w:rPr>
          <w:rFonts w:hint="eastAsia" w:ascii="仿宋" w:hAnsi="仿宋" w:eastAsia="仿宋"/>
          <w:b/>
          <w:bCs/>
          <w:sz w:val="28"/>
          <w:szCs w:val="28"/>
        </w:rPr>
        <w:t>附录</w:t>
      </w:r>
      <w:r>
        <w:rPr>
          <w:rFonts w:hint="eastAsia" w:ascii="仿宋" w:hAnsi="仿宋" w:eastAsia="仿宋"/>
          <w:sz w:val="28"/>
          <w:szCs w:val="28"/>
        </w:rPr>
        <w:t>：</w:t>
      </w:r>
      <w:r>
        <w:rPr>
          <w:rFonts w:hint="eastAsia" w:ascii="仿宋" w:hAnsi="仿宋" w:eastAsia="仿宋"/>
          <w:b/>
          <w:bCs/>
          <w:sz w:val="28"/>
          <w:szCs w:val="28"/>
        </w:rPr>
        <w:t>青岛中医药传承创新基地项目变配电工程电力电缆材料采购清单控制价（含税价，增值税税率为13%）</w:t>
      </w:r>
    </w:p>
    <w:tbl>
      <w:tblPr>
        <w:tblStyle w:val="28"/>
        <w:tblW w:w="8946" w:type="dxa"/>
        <w:tblInd w:w="93" w:type="dxa"/>
        <w:tblLayout w:type="autofit"/>
        <w:tblCellMar>
          <w:top w:w="0" w:type="dxa"/>
          <w:left w:w="108" w:type="dxa"/>
          <w:bottom w:w="0" w:type="dxa"/>
          <w:right w:w="108" w:type="dxa"/>
        </w:tblCellMar>
      </w:tblPr>
      <w:tblGrid>
        <w:gridCol w:w="1291"/>
        <w:gridCol w:w="2119"/>
        <w:gridCol w:w="716"/>
        <w:gridCol w:w="1418"/>
        <w:gridCol w:w="1701"/>
        <w:gridCol w:w="1701"/>
      </w:tblGrid>
      <w:tr w14:paraId="45D2FE35">
        <w:tblPrEx>
          <w:tblCellMar>
            <w:top w:w="0" w:type="dxa"/>
            <w:left w:w="108" w:type="dxa"/>
            <w:bottom w:w="0" w:type="dxa"/>
            <w:right w:w="108" w:type="dxa"/>
          </w:tblCellMar>
        </w:tblPrEx>
        <w:trPr>
          <w:trHeight w:val="555"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47A83">
            <w:pPr>
              <w:widowControl/>
              <w:jc w:val="center"/>
              <w:rPr>
                <w:rFonts w:ascii="仿宋" w:hAnsi="仿宋" w:eastAsia="仿宋"/>
                <w:b/>
                <w:sz w:val="24"/>
                <w:szCs w:val="24"/>
              </w:rPr>
            </w:pPr>
            <w:r>
              <w:rPr>
                <w:rFonts w:hint="eastAsia" w:ascii="仿宋" w:hAnsi="仿宋" w:eastAsia="仿宋"/>
                <w:b/>
                <w:sz w:val="24"/>
                <w:szCs w:val="24"/>
              </w:rPr>
              <w:t>材料名称</w:t>
            </w:r>
          </w:p>
        </w:tc>
        <w:tc>
          <w:tcPr>
            <w:tcW w:w="2119" w:type="dxa"/>
            <w:tcBorders>
              <w:top w:val="single" w:color="auto" w:sz="4" w:space="0"/>
              <w:left w:val="nil"/>
              <w:bottom w:val="single" w:color="auto" w:sz="4" w:space="0"/>
              <w:right w:val="single" w:color="auto" w:sz="4" w:space="0"/>
            </w:tcBorders>
            <w:shd w:val="clear" w:color="auto" w:fill="auto"/>
            <w:noWrap/>
            <w:vAlign w:val="center"/>
          </w:tcPr>
          <w:p w14:paraId="3420DED6">
            <w:pPr>
              <w:widowControl/>
              <w:jc w:val="center"/>
              <w:rPr>
                <w:rFonts w:ascii="仿宋" w:hAnsi="仿宋" w:eastAsia="仿宋"/>
                <w:b/>
                <w:sz w:val="24"/>
                <w:szCs w:val="24"/>
              </w:rPr>
            </w:pPr>
            <w:r>
              <w:rPr>
                <w:rFonts w:hint="eastAsia" w:ascii="仿宋" w:hAnsi="仿宋" w:eastAsia="仿宋"/>
                <w:b/>
                <w:sz w:val="24"/>
                <w:szCs w:val="24"/>
              </w:rPr>
              <w:t>采购规格</w:t>
            </w:r>
          </w:p>
        </w:tc>
        <w:tc>
          <w:tcPr>
            <w:tcW w:w="716" w:type="dxa"/>
            <w:tcBorders>
              <w:top w:val="single" w:color="auto" w:sz="4" w:space="0"/>
              <w:left w:val="nil"/>
              <w:bottom w:val="single" w:color="auto" w:sz="4" w:space="0"/>
              <w:right w:val="single" w:color="auto" w:sz="4" w:space="0"/>
            </w:tcBorders>
            <w:shd w:val="clear" w:color="auto" w:fill="auto"/>
            <w:noWrap/>
            <w:vAlign w:val="center"/>
          </w:tcPr>
          <w:p w14:paraId="7ED78C85">
            <w:pPr>
              <w:widowControl/>
              <w:jc w:val="center"/>
              <w:rPr>
                <w:rFonts w:ascii="仿宋" w:hAnsi="仿宋" w:eastAsia="仿宋"/>
                <w:b/>
                <w:sz w:val="24"/>
                <w:szCs w:val="24"/>
              </w:rPr>
            </w:pPr>
            <w:r>
              <w:rPr>
                <w:rFonts w:hint="eastAsia" w:ascii="仿宋" w:hAnsi="仿宋" w:eastAsia="仿宋"/>
                <w:b/>
                <w:sz w:val="24"/>
                <w:szCs w:val="24"/>
              </w:rPr>
              <w:t>单位</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E12F8">
            <w:pPr>
              <w:widowControl/>
              <w:jc w:val="center"/>
              <w:rPr>
                <w:rFonts w:ascii="仿宋" w:hAnsi="仿宋" w:eastAsia="仿宋"/>
                <w:b/>
                <w:sz w:val="24"/>
                <w:szCs w:val="24"/>
              </w:rPr>
            </w:pPr>
            <w:r>
              <w:rPr>
                <w:rFonts w:hint="eastAsia" w:ascii="仿宋" w:hAnsi="仿宋" w:eastAsia="仿宋"/>
                <w:b/>
                <w:sz w:val="24"/>
                <w:szCs w:val="24"/>
              </w:rPr>
              <w:t>采购数量</w:t>
            </w:r>
          </w:p>
        </w:tc>
        <w:tc>
          <w:tcPr>
            <w:tcW w:w="1701" w:type="dxa"/>
            <w:tcBorders>
              <w:top w:val="single" w:color="auto" w:sz="4" w:space="0"/>
              <w:left w:val="nil"/>
              <w:bottom w:val="single" w:color="auto" w:sz="4" w:space="0"/>
              <w:right w:val="single" w:color="auto" w:sz="4" w:space="0"/>
            </w:tcBorders>
            <w:shd w:val="clear" w:color="auto" w:fill="auto"/>
            <w:vAlign w:val="center"/>
          </w:tcPr>
          <w:p w14:paraId="2B135C20">
            <w:pPr>
              <w:widowControl/>
              <w:jc w:val="center"/>
              <w:rPr>
                <w:rFonts w:ascii="仿宋" w:hAnsi="仿宋" w:eastAsia="仿宋"/>
                <w:b/>
                <w:sz w:val="24"/>
                <w:szCs w:val="24"/>
              </w:rPr>
            </w:pPr>
            <w:r>
              <w:rPr>
                <w:rFonts w:hint="eastAsia" w:ascii="仿宋" w:hAnsi="仿宋" w:eastAsia="仿宋"/>
                <w:b/>
                <w:sz w:val="24"/>
                <w:szCs w:val="24"/>
              </w:rPr>
              <w:t>控制单价（元）</w:t>
            </w:r>
          </w:p>
        </w:tc>
        <w:tc>
          <w:tcPr>
            <w:tcW w:w="1701" w:type="dxa"/>
            <w:tcBorders>
              <w:top w:val="single" w:color="auto" w:sz="4" w:space="0"/>
              <w:left w:val="nil"/>
              <w:bottom w:val="single" w:color="auto" w:sz="4" w:space="0"/>
              <w:right w:val="single" w:color="auto" w:sz="4" w:space="0"/>
            </w:tcBorders>
            <w:shd w:val="clear" w:color="auto" w:fill="auto"/>
            <w:vAlign w:val="center"/>
          </w:tcPr>
          <w:p w14:paraId="5D7E3900">
            <w:pPr>
              <w:widowControl/>
              <w:jc w:val="center"/>
              <w:rPr>
                <w:rFonts w:ascii="仿宋" w:hAnsi="仿宋" w:eastAsia="仿宋"/>
                <w:b/>
                <w:sz w:val="24"/>
                <w:szCs w:val="24"/>
              </w:rPr>
            </w:pPr>
            <w:r>
              <w:rPr>
                <w:rFonts w:hint="eastAsia" w:ascii="仿宋" w:hAnsi="仿宋" w:eastAsia="仿宋"/>
                <w:b/>
                <w:sz w:val="24"/>
                <w:szCs w:val="24"/>
              </w:rPr>
              <w:t>控制总价（元）</w:t>
            </w:r>
          </w:p>
        </w:tc>
      </w:tr>
      <w:tr w14:paraId="610B1C15">
        <w:tblPrEx>
          <w:tblCellMar>
            <w:top w:w="0" w:type="dxa"/>
            <w:left w:w="108" w:type="dxa"/>
            <w:bottom w:w="0" w:type="dxa"/>
            <w:right w:w="108" w:type="dxa"/>
          </w:tblCellMar>
        </w:tblPrEx>
        <w:trPr>
          <w:trHeight w:val="1840" w:hRule="atLeast"/>
        </w:trPr>
        <w:tc>
          <w:tcPr>
            <w:tcW w:w="1291" w:type="dxa"/>
            <w:tcBorders>
              <w:top w:val="nil"/>
              <w:left w:val="single" w:color="auto" w:sz="4" w:space="0"/>
              <w:right w:val="single" w:color="auto" w:sz="4" w:space="0"/>
            </w:tcBorders>
            <w:shd w:val="clear" w:color="auto" w:fill="auto"/>
            <w:noWrap/>
            <w:vAlign w:val="center"/>
          </w:tcPr>
          <w:p w14:paraId="76FC09BE">
            <w:pPr>
              <w:widowControl/>
              <w:jc w:val="center"/>
              <w:rPr>
                <w:rFonts w:ascii="仿宋" w:hAnsi="仿宋" w:eastAsia="仿宋"/>
                <w:sz w:val="24"/>
                <w:szCs w:val="24"/>
              </w:rPr>
            </w:pPr>
            <w:r>
              <w:rPr>
                <w:rFonts w:hint="eastAsia" w:ascii="仿宋" w:hAnsi="仿宋" w:eastAsia="仿宋"/>
                <w:sz w:val="24"/>
                <w:szCs w:val="24"/>
              </w:rPr>
              <w:t>电力电缆</w:t>
            </w:r>
          </w:p>
          <w:p w14:paraId="44E5388A">
            <w:pPr>
              <w:jc w:val="center"/>
              <w:rPr>
                <w:rFonts w:ascii="仿宋" w:hAnsi="仿宋" w:eastAsia="仿宋"/>
                <w:sz w:val="24"/>
                <w:szCs w:val="24"/>
              </w:rPr>
            </w:pPr>
          </w:p>
        </w:tc>
        <w:tc>
          <w:tcPr>
            <w:tcW w:w="2119" w:type="dxa"/>
            <w:tcBorders>
              <w:top w:val="nil"/>
              <w:left w:val="nil"/>
              <w:right w:val="single" w:color="auto" w:sz="4" w:space="0"/>
            </w:tcBorders>
            <w:shd w:val="clear" w:color="auto" w:fill="auto"/>
            <w:vAlign w:val="center"/>
          </w:tcPr>
          <w:p w14:paraId="50BEF9DC">
            <w:pPr>
              <w:jc w:val="center"/>
              <w:rPr>
                <w:rFonts w:ascii="宋体" w:hAnsi="宋体" w:cs="宋体"/>
                <w:color w:val="000000"/>
                <w:sz w:val="22"/>
              </w:rPr>
            </w:pPr>
            <w:r>
              <w:rPr>
                <w:rFonts w:hint="eastAsia"/>
                <w:color w:val="000000"/>
                <w:sz w:val="22"/>
              </w:rPr>
              <w:t>ZC-YJV-10-3*185</w:t>
            </w:r>
          </w:p>
        </w:tc>
        <w:tc>
          <w:tcPr>
            <w:tcW w:w="716" w:type="dxa"/>
            <w:tcBorders>
              <w:top w:val="nil"/>
              <w:left w:val="nil"/>
              <w:right w:val="single" w:color="auto" w:sz="4" w:space="0"/>
            </w:tcBorders>
            <w:shd w:val="clear" w:color="auto" w:fill="auto"/>
            <w:noWrap/>
            <w:vAlign w:val="center"/>
          </w:tcPr>
          <w:p w14:paraId="13C3DCAD">
            <w:pPr>
              <w:widowControl/>
              <w:jc w:val="center"/>
              <w:rPr>
                <w:rFonts w:ascii="仿宋" w:hAnsi="仿宋" w:eastAsia="仿宋"/>
                <w:sz w:val="24"/>
                <w:szCs w:val="24"/>
              </w:rPr>
            </w:pPr>
            <w:r>
              <w:rPr>
                <w:rFonts w:hint="eastAsia" w:ascii="仿宋" w:hAnsi="仿宋" w:eastAsia="仿宋"/>
                <w:sz w:val="24"/>
                <w:szCs w:val="24"/>
              </w:rPr>
              <w:t>米</w:t>
            </w:r>
          </w:p>
        </w:tc>
        <w:tc>
          <w:tcPr>
            <w:tcW w:w="1418" w:type="dxa"/>
            <w:tcBorders>
              <w:top w:val="nil"/>
              <w:left w:val="single" w:color="auto" w:sz="4" w:space="0"/>
              <w:right w:val="single" w:color="auto" w:sz="4" w:space="0"/>
            </w:tcBorders>
            <w:shd w:val="clear" w:color="auto" w:fill="auto"/>
            <w:noWrap/>
            <w:vAlign w:val="center"/>
          </w:tcPr>
          <w:p w14:paraId="0EB4C63B">
            <w:pPr>
              <w:jc w:val="center"/>
              <w:rPr>
                <w:rFonts w:ascii="宋体" w:hAnsi="宋体" w:cs="宋体"/>
                <w:color w:val="000000"/>
                <w:sz w:val="22"/>
              </w:rPr>
            </w:pPr>
            <w:r>
              <w:rPr>
                <w:rFonts w:hint="eastAsia"/>
                <w:color w:val="000000"/>
                <w:sz w:val="22"/>
              </w:rPr>
              <w:t>605</w:t>
            </w:r>
          </w:p>
        </w:tc>
        <w:tc>
          <w:tcPr>
            <w:tcW w:w="1701" w:type="dxa"/>
            <w:tcBorders>
              <w:top w:val="nil"/>
              <w:left w:val="nil"/>
              <w:right w:val="single" w:color="auto" w:sz="4" w:space="0"/>
            </w:tcBorders>
            <w:shd w:val="clear" w:color="auto" w:fill="auto"/>
            <w:noWrap/>
            <w:vAlign w:val="center"/>
          </w:tcPr>
          <w:p w14:paraId="30783F3C">
            <w:pPr>
              <w:jc w:val="center"/>
              <w:rPr>
                <w:rFonts w:ascii="宋体" w:hAnsi="宋体" w:cs="宋体"/>
                <w:color w:val="000000"/>
                <w:sz w:val="22"/>
              </w:rPr>
            </w:pPr>
            <w:r>
              <w:rPr>
                <w:rFonts w:hint="eastAsia"/>
                <w:color w:val="000000"/>
                <w:sz w:val="22"/>
              </w:rPr>
              <w:t xml:space="preserve">460.42 </w:t>
            </w:r>
          </w:p>
        </w:tc>
        <w:tc>
          <w:tcPr>
            <w:tcW w:w="1701" w:type="dxa"/>
            <w:tcBorders>
              <w:top w:val="nil"/>
              <w:left w:val="nil"/>
              <w:right w:val="single" w:color="auto" w:sz="4" w:space="0"/>
            </w:tcBorders>
            <w:shd w:val="clear" w:color="auto" w:fill="auto"/>
            <w:noWrap/>
            <w:vAlign w:val="center"/>
          </w:tcPr>
          <w:p w14:paraId="74EAE1A1">
            <w:pPr>
              <w:jc w:val="center"/>
              <w:rPr>
                <w:rFonts w:ascii="宋体" w:hAnsi="宋体" w:cs="宋体"/>
                <w:color w:val="000000"/>
                <w:sz w:val="22"/>
              </w:rPr>
            </w:pPr>
            <w:r>
              <w:rPr>
                <w:rFonts w:hint="eastAsia"/>
                <w:color w:val="000000"/>
                <w:sz w:val="22"/>
              </w:rPr>
              <w:t xml:space="preserve">278554.10 </w:t>
            </w:r>
          </w:p>
        </w:tc>
      </w:tr>
      <w:tr w14:paraId="44D85ED5">
        <w:tblPrEx>
          <w:tblCellMar>
            <w:top w:w="0" w:type="dxa"/>
            <w:left w:w="108" w:type="dxa"/>
            <w:bottom w:w="0" w:type="dxa"/>
            <w:right w:w="108" w:type="dxa"/>
          </w:tblCellMar>
        </w:tblPrEx>
        <w:trPr>
          <w:trHeight w:val="915"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54697">
            <w:pPr>
              <w:widowControl/>
              <w:jc w:val="center"/>
              <w:rPr>
                <w:rFonts w:ascii="仿宋" w:hAnsi="仿宋" w:eastAsia="仿宋"/>
                <w:sz w:val="24"/>
                <w:szCs w:val="24"/>
              </w:rPr>
            </w:pPr>
            <w:r>
              <w:rPr>
                <w:rFonts w:hint="eastAsia" w:ascii="仿宋" w:hAnsi="仿宋" w:eastAsia="仿宋"/>
                <w:sz w:val="24"/>
                <w:szCs w:val="24"/>
              </w:rPr>
              <w:t>电力电缆</w:t>
            </w:r>
          </w:p>
        </w:tc>
        <w:tc>
          <w:tcPr>
            <w:tcW w:w="2119" w:type="dxa"/>
            <w:tcBorders>
              <w:top w:val="single" w:color="auto" w:sz="4" w:space="0"/>
              <w:left w:val="nil"/>
              <w:bottom w:val="single" w:color="auto" w:sz="4" w:space="0"/>
              <w:right w:val="single" w:color="auto" w:sz="4" w:space="0"/>
            </w:tcBorders>
            <w:shd w:val="clear" w:color="auto" w:fill="auto"/>
            <w:vAlign w:val="center"/>
          </w:tcPr>
          <w:p w14:paraId="7A10A9FD">
            <w:pPr>
              <w:jc w:val="center"/>
              <w:rPr>
                <w:rFonts w:ascii="宋体" w:hAnsi="宋体" w:cs="宋体"/>
                <w:color w:val="000000"/>
                <w:sz w:val="22"/>
              </w:rPr>
            </w:pPr>
            <w:r>
              <w:rPr>
                <w:rFonts w:hint="eastAsia"/>
                <w:color w:val="000000"/>
                <w:sz w:val="22"/>
              </w:rPr>
              <w:t>ZC-YJV-10-3*120</w:t>
            </w:r>
          </w:p>
        </w:tc>
        <w:tc>
          <w:tcPr>
            <w:tcW w:w="716" w:type="dxa"/>
            <w:tcBorders>
              <w:top w:val="single" w:color="auto" w:sz="4" w:space="0"/>
              <w:left w:val="nil"/>
              <w:bottom w:val="single" w:color="auto" w:sz="4" w:space="0"/>
              <w:right w:val="single" w:color="auto" w:sz="4" w:space="0"/>
            </w:tcBorders>
            <w:shd w:val="clear" w:color="auto" w:fill="auto"/>
            <w:noWrap/>
            <w:vAlign w:val="center"/>
          </w:tcPr>
          <w:p w14:paraId="647F9B6A">
            <w:pPr>
              <w:widowControl/>
              <w:jc w:val="center"/>
              <w:rPr>
                <w:rFonts w:ascii="仿宋" w:hAnsi="仿宋" w:eastAsia="仿宋"/>
                <w:sz w:val="24"/>
                <w:szCs w:val="24"/>
              </w:rPr>
            </w:pPr>
            <w:r>
              <w:rPr>
                <w:rFonts w:hint="eastAsia" w:ascii="仿宋" w:hAnsi="仿宋" w:eastAsia="仿宋"/>
                <w:sz w:val="24"/>
                <w:szCs w:val="24"/>
              </w:rPr>
              <w:t>米</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1D47B">
            <w:pPr>
              <w:jc w:val="center"/>
              <w:rPr>
                <w:rFonts w:ascii="宋体" w:hAnsi="宋体" w:cs="宋体"/>
                <w:color w:val="000000"/>
                <w:sz w:val="22"/>
              </w:rPr>
            </w:pPr>
            <w:r>
              <w:rPr>
                <w:rFonts w:hint="eastAsia"/>
                <w:color w:val="000000"/>
                <w:sz w:val="22"/>
              </w:rPr>
              <w:t>197</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421AA1C">
            <w:pPr>
              <w:jc w:val="center"/>
              <w:rPr>
                <w:rFonts w:ascii="宋体" w:hAnsi="宋体" w:cs="宋体"/>
                <w:color w:val="000000"/>
                <w:sz w:val="22"/>
              </w:rPr>
            </w:pPr>
            <w:r>
              <w:rPr>
                <w:rFonts w:hint="eastAsia"/>
                <w:color w:val="000000"/>
                <w:sz w:val="22"/>
              </w:rPr>
              <w:t xml:space="preserve">308.35 </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30C045C">
            <w:pPr>
              <w:jc w:val="center"/>
              <w:rPr>
                <w:rFonts w:ascii="宋体" w:hAnsi="宋体" w:cs="宋体"/>
                <w:color w:val="000000"/>
                <w:sz w:val="22"/>
              </w:rPr>
            </w:pPr>
            <w:r>
              <w:rPr>
                <w:rFonts w:hint="eastAsia"/>
                <w:color w:val="000000"/>
                <w:sz w:val="22"/>
              </w:rPr>
              <w:t xml:space="preserve">60744.95 </w:t>
            </w:r>
          </w:p>
        </w:tc>
      </w:tr>
      <w:tr w14:paraId="34DA8978">
        <w:tblPrEx>
          <w:tblCellMar>
            <w:top w:w="0" w:type="dxa"/>
            <w:left w:w="108" w:type="dxa"/>
            <w:bottom w:w="0" w:type="dxa"/>
            <w:right w:w="108" w:type="dxa"/>
          </w:tblCellMar>
        </w:tblPrEx>
        <w:trPr>
          <w:trHeight w:val="1840" w:hRule="atLeast"/>
        </w:trPr>
        <w:tc>
          <w:tcPr>
            <w:tcW w:w="1291" w:type="dxa"/>
            <w:tcBorders>
              <w:top w:val="single" w:color="auto" w:sz="4" w:space="0"/>
              <w:left w:val="single" w:color="auto" w:sz="4" w:space="0"/>
              <w:right w:val="single" w:color="auto" w:sz="4" w:space="0"/>
            </w:tcBorders>
            <w:shd w:val="clear" w:color="auto" w:fill="auto"/>
            <w:noWrap/>
            <w:vAlign w:val="center"/>
          </w:tcPr>
          <w:p w14:paraId="77A1653A">
            <w:pPr>
              <w:widowControl/>
              <w:jc w:val="center"/>
              <w:rPr>
                <w:rFonts w:ascii="仿宋" w:hAnsi="仿宋" w:eastAsia="仿宋"/>
                <w:sz w:val="24"/>
                <w:szCs w:val="24"/>
              </w:rPr>
            </w:pPr>
            <w:r>
              <w:rPr>
                <w:rFonts w:hint="eastAsia" w:ascii="仿宋" w:hAnsi="仿宋" w:eastAsia="仿宋"/>
                <w:sz w:val="24"/>
                <w:szCs w:val="24"/>
              </w:rPr>
              <w:t>电力电缆</w:t>
            </w:r>
          </w:p>
        </w:tc>
        <w:tc>
          <w:tcPr>
            <w:tcW w:w="2119" w:type="dxa"/>
            <w:tcBorders>
              <w:top w:val="single" w:color="auto" w:sz="4" w:space="0"/>
              <w:left w:val="nil"/>
              <w:right w:val="single" w:color="auto" w:sz="4" w:space="0"/>
            </w:tcBorders>
            <w:shd w:val="clear" w:color="auto" w:fill="auto"/>
            <w:vAlign w:val="center"/>
          </w:tcPr>
          <w:p w14:paraId="3B4724C8">
            <w:pPr>
              <w:jc w:val="center"/>
              <w:rPr>
                <w:rFonts w:ascii="宋体" w:hAnsi="宋体" w:cs="宋体"/>
                <w:color w:val="000000"/>
                <w:sz w:val="22"/>
              </w:rPr>
            </w:pPr>
            <w:r>
              <w:rPr>
                <w:rFonts w:hint="eastAsia"/>
                <w:color w:val="000000"/>
                <w:sz w:val="22"/>
              </w:rPr>
              <w:t>ZC-YJV-10-3*150</w:t>
            </w:r>
          </w:p>
        </w:tc>
        <w:tc>
          <w:tcPr>
            <w:tcW w:w="716" w:type="dxa"/>
            <w:tcBorders>
              <w:top w:val="single" w:color="auto" w:sz="4" w:space="0"/>
              <w:left w:val="nil"/>
              <w:right w:val="single" w:color="auto" w:sz="4" w:space="0"/>
            </w:tcBorders>
            <w:shd w:val="clear" w:color="auto" w:fill="auto"/>
            <w:noWrap/>
            <w:vAlign w:val="center"/>
          </w:tcPr>
          <w:p w14:paraId="524915D1">
            <w:pPr>
              <w:widowControl/>
              <w:jc w:val="center"/>
              <w:rPr>
                <w:rFonts w:ascii="仿宋" w:hAnsi="仿宋" w:eastAsia="仿宋"/>
                <w:sz w:val="24"/>
                <w:szCs w:val="24"/>
              </w:rPr>
            </w:pPr>
            <w:r>
              <w:rPr>
                <w:rFonts w:hint="eastAsia" w:ascii="仿宋" w:hAnsi="仿宋" w:eastAsia="仿宋"/>
                <w:sz w:val="24"/>
                <w:szCs w:val="24"/>
              </w:rPr>
              <w:t>米</w:t>
            </w:r>
          </w:p>
        </w:tc>
        <w:tc>
          <w:tcPr>
            <w:tcW w:w="1418" w:type="dxa"/>
            <w:tcBorders>
              <w:top w:val="single" w:color="auto" w:sz="4" w:space="0"/>
              <w:left w:val="single" w:color="auto" w:sz="4" w:space="0"/>
              <w:right w:val="single" w:color="auto" w:sz="4" w:space="0"/>
            </w:tcBorders>
            <w:shd w:val="clear" w:color="auto" w:fill="auto"/>
            <w:noWrap/>
            <w:vAlign w:val="center"/>
          </w:tcPr>
          <w:p w14:paraId="0FF2B1C6">
            <w:pPr>
              <w:jc w:val="center"/>
              <w:rPr>
                <w:rFonts w:ascii="宋体" w:hAnsi="宋体" w:cs="宋体"/>
                <w:color w:val="000000"/>
                <w:sz w:val="22"/>
              </w:rPr>
            </w:pPr>
            <w:r>
              <w:rPr>
                <w:rFonts w:hint="eastAsia"/>
                <w:color w:val="000000"/>
                <w:sz w:val="22"/>
              </w:rPr>
              <w:t>1509</w:t>
            </w:r>
          </w:p>
        </w:tc>
        <w:tc>
          <w:tcPr>
            <w:tcW w:w="1701" w:type="dxa"/>
            <w:tcBorders>
              <w:top w:val="single" w:color="auto" w:sz="4" w:space="0"/>
              <w:left w:val="nil"/>
              <w:right w:val="single" w:color="auto" w:sz="4" w:space="0"/>
            </w:tcBorders>
            <w:shd w:val="clear" w:color="auto" w:fill="auto"/>
            <w:noWrap/>
            <w:vAlign w:val="center"/>
          </w:tcPr>
          <w:p w14:paraId="47250616">
            <w:pPr>
              <w:jc w:val="center"/>
              <w:rPr>
                <w:rFonts w:ascii="宋体" w:hAnsi="宋体" w:cs="宋体"/>
                <w:color w:val="000000"/>
                <w:sz w:val="22"/>
              </w:rPr>
            </w:pPr>
            <w:r>
              <w:rPr>
                <w:rFonts w:hint="eastAsia"/>
                <w:color w:val="000000"/>
                <w:sz w:val="22"/>
              </w:rPr>
              <w:t xml:space="preserve">374.63 </w:t>
            </w:r>
          </w:p>
        </w:tc>
        <w:tc>
          <w:tcPr>
            <w:tcW w:w="1701" w:type="dxa"/>
            <w:tcBorders>
              <w:top w:val="single" w:color="auto" w:sz="4" w:space="0"/>
              <w:left w:val="nil"/>
              <w:right w:val="single" w:color="auto" w:sz="4" w:space="0"/>
            </w:tcBorders>
            <w:shd w:val="clear" w:color="auto" w:fill="auto"/>
            <w:noWrap/>
            <w:vAlign w:val="center"/>
          </w:tcPr>
          <w:p w14:paraId="251B5D77">
            <w:pPr>
              <w:jc w:val="center"/>
              <w:rPr>
                <w:rFonts w:ascii="宋体" w:hAnsi="宋体" w:cs="宋体"/>
                <w:color w:val="000000"/>
                <w:sz w:val="22"/>
              </w:rPr>
            </w:pPr>
            <w:r>
              <w:rPr>
                <w:rFonts w:hint="eastAsia"/>
                <w:color w:val="000000"/>
                <w:sz w:val="22"/>
              </w:rPr>
              <w:t xml:space="preserve">565316.67 </w:t>
            </w:r>
          </w:p>
        </w:tc>
      </w:tr>
      <w:tr w14:paraId="513B7522">
        <w:tblPrEx>
          <w:tblCellMar>
            <w:top w:w="0" w:type="dxa"/>
            <w:left w:w="108" w:type="dxa"/>
            <w:bottom w:w="0" w:type="dxa"/>
            <w:right w:w="108" w:type="dxa"/>
          </w:tblCellMar>
        </w:tblPrEx>
        <w:trPr>
          <w:trHeight w:val="915"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9A375">
            <w:pPr>
              <w:widowControl/>
              <w:jc w:val="center"/>
              <w:rPr>
                <w:rFonts w:ascii="仿宋" w:hAnsi="仿宋" w:eastAsia="仿宋"/>
                <w:sz w:val="24"/>
                <w:szCs w:val="24"/>
              </w:rPr>
            </w:pPr>
            <w:r>
              <w:rPr>
                <w:rFonts w:hint="eastAsia" w:ascii="仿宋" w:hAnsi="仿宋" w:eastAsia="仿宋"/>
                <w:sz w:val="24"/>
                <w:szCs w:val="24"/>
              </w:rPr>
              <w:t>电力电缆</w:t>
            </w:r>
          </w:p>
        </w:tc>
        <w:tc>
          <w:tcPr>
            <w:tcW w:w="2119" w:type="dxa"/>
            <w:tcBorders>
              <w:top w:val="single" w:color="auto" w:sz="4" w:space="0"/>
              <w:left w:val="nil"/>
              <w:bottom w:val="single" w:color="auto" w:sz="4" w:space="0"/>
              <w:right w:val="single" w:color="auto" w:sz="4" w:space="0"/>
            </w:tcBorders>
            <w:shd w:val="clear" w:color="auto" w:fill="auto"/>
            <w:vAlign w:val="center"/>
          </w:tcPr>
          <w:p w14:paraId="0BB5155B">
            <w:pPr>
              <w:jc w:val="center"/>
              <w:rPr>
                <w:rFonts w:ascii="宋体" w:hAnsi="宋体" w:cs="宋体"/>
                <w:color w:val="000000"/>
                <w:sz w:val="22"/>
              </w:rPr>
            </w:pPr>
            <w:r>
              <w:rPr>
                <w:rFonts w:hint="eastAsia"/>
                <w:color w:val="000000"/>
                <w:sz w:val="22"/>
              </w:rPr>
              <w:t>ZC-YJV-10-3*70</w:t>
            </w:r>
          </w:p>
        </w:tc>
        <w:tc>
          <w:tcPr>
            <w:tcW w:w="716" w:type="dxa"/>
            <w:tcBorders>
              <w:top w:val="single" w:color="auto" w:sz="4" w:space="0"/>
              <w:left w:val="nil"/>
              <w:bottom w:val="single" w:color="auto" w:sz="4" w:space="0"/>
              <w:right w:val="single" w:color="auto" w:sz="4" w:space="0"/>
            </w:tcBorders>
            <w:shd w:val="clear" w:color="auto" w:fill="auto"/>
            <w:noWrap/>
            <w:vAlign w:val="center"/>
          </w:tcPr>
          <w:p w14:paraId="7B4D99E8">
            <w:pPr>
              <w:widowControl/>
              <w:jc w:val="center"/>
              <w:rPr>
                <w:rFonts w:ascii="仿宋" w:hAnsi="仿宋" w:eastAsia="仿宋"/>
                <w:sz w:val="24"/>
                <w:szCs w:val="24"/>
              </w:rPr>
            </w:pPr>
            <w:r>
              <w:rPr>
                <w:rFonts w:hint="eastAsia" w:ascii="仿宋" w:hAnsi="仿宋" w:eastAsia="仿宋"/>
                <w:sz w:val="24"/>
                <w:szCs w:val="24"/>
              </w:rPr>
              <w:t>米</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6693D">
            <w:pPr>
              <w:jc w:val="center"/>
              <w:rPr>
                <w:rFonts w:ascii="宋体" w:hAnsi="宋体" w:cs="宋体"/>
                <w:color w:val="000000"/>
                <w:sz w:val="22"/>
              </w:rPr>
            </w:pPr>
            <w:r>
              <w:rPr>
                <w:rFonts w:hint="eastAsia"/>
                <w:color w:val="000000"/>
                <w:sz w:val="22"/>
              </w:rPr>
              <w:t>105</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070B95E">
            <w:pPr>
              <w:jc w:val="center"/>
              <w:rPr>
                <w:rFonts w:ascii="宋体" w:hAnsi="宋体" w:cs="宋体"/>
                <w:color w:val="000000"/>
                <w:sz w:val="22"/>
              </w:rPr>
            </w:pPr>
            <w:r>
              <w:rPr>
                <w:rFonts w:hint="eastAsia"/>
                <w:color w:val="000000"/>
                <w:sz w:val="22"/>
              </w:rPr>
              <w:t xml:space="preserve">190.50 </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ED19C8F">
            <w:pPr>
              <w:jc w:val="center"/>
              <w:rPr>
                <w:rFonts w:ascii="宋体" w:hAnsi="宋体" w:cs="宋体"/>
                <w:color w:val="000000"/>
                <w:sz w:val="22"/>
              </w:rPr>
            </w:pPr>
            <w:r>
              <w:rPr>
                <w:rFonts w:hint="eastAsia"/>
                <w:color w:val="000000"/>
                <w:sz w:val="22"/>
              </w:rPr>
              <w:t xml:space="preserve">20002.50 </w:t>
            </w:r>
          </w:p>
        </w:tc>
      </w:tr>
      <w:tr w14:paraId="7C360466">
        <w:tblPrEx>
          <w:tblCellMar>
            <w:top w:w="0" w:type="dxa"/>
            <w:left w:w="108" w:type="dxa"/>
            <w:bottom w:w="0" w:type="dxa"/>
            <w:right w:w="108" w:type="dxa"/>
          </w:tblCellMar>
        </w:tblPrEx>
        <w:trPr>
          <w:trHeight w:val="1840" w:hRule="atLeast"/>
        </w:trPr>
        <w:tc>
          <w:tcPr>
            <w:tcW w:w="1291" w:type="dxa"/>
            <w:tcBorders>
              <w:top w:val="single" w:color="auto" w:sz="4" w:space="0"/>
              <w:left w:val="single" w:color="auto" w:sz="4" w:space="0"/>
              <w:right w:val="single" w:color="auto" w:sz="4" w:space="0"/>
            </w:tcBorders>
            <w:shd w:val="clear" w:color="auto" w:fill="auto"/>
            <w:noWrap/>
            <w:vAlign w:val="center"/>
          </w:tcPr>
          <w:p w14:paraId="44A45483">
            <w:pPr>
              <w:widowControl/>
              <w:jc w:val="center"/>
              <w:rPr>
                <w:rFonts w:ascii="仿宋" w:hAnsi="仿宋" w:eastAsia="仿宋"/>
                <w:sz w:val="24"/>
                <w:szCs w:val="24"/>
              </w:rPr>
            </w:pPr>
            <w:r>
              <w:rPr>
                <w:rFonts w:hint="eastAsia" w:ascii="仿宋" w:hAnsi="仿宋" w:eastAsia="仿宋"/>
                <w:sz w:val="24"/>
                <w:szCs w:val="24"/>
              </w:rPr>
              <w:t>电力电缆</w:t>
            </w:r>
          </w:p>
        </w:tc>
        <w:tc>
          <w:tcPr>
            <w:tcW w:w="2119" w:type="dxa"/>
            <w:tcBorders>
              <w:top w:val="single" w:color="auto" w:sz="4" w:space="0"/>
              <w:left w:val="nil"/>
              <w:right w:val="single" w:color="auto" w:sz="4" w:space="0"/>
            </w:tcBorders>
            <w:shd w:val="clear" w:color="auto" w:fill="auto"/>
            <w:vAlign w:val="center"/>
          </w:tcPr>
          <w:p w14:paraId="271CF9C6">
            <w:pPr>
              <w:jc w:val="center"/>
              <w:rPr>
                <w:rFonts w:ascii="宋体" w:hAnsi="宋体" w:cs="宋体"/>
                <w:color w:val="000000"/>
                <w:sz w:val="22"/>
              </w:rPr>
            </w:pPr>
            <w:r>
              <w:rPr>
                <w:rFonts w:hint="eastAsia"/>
                <w:color w:val="000000"/>
                <w:sz w:val="22"/>
              </w:rPr>
              <w:t>ZC-YJV22-10-3*240</w:t>
            </w:r>
          </w:p>
        </w:tc>
        <w:tc>
          <w:tcPr>
            <w:tcW w:w="716" w:type="dxa"/>
            <w:tcBorders>
              <w:top w:val="single" w:color="auto" w:sz="4" w:space="0"/>
              <w:left w:val="nil"/>
              <w:right w:val="single" w:color="auto" w:sz="4" w:space="0"/>
            </w:tcBorders>
            <w:shd w:val="clear" w:color="auto" w:fill="auto"/>
            <w:noWrap/>
            <w:vAlign w:val="center"/>
          </w:tcPr>
          <w:p w14:paraId="5A391153">
            <w:pPr>
              <w:widowControl/>
              <w:jc w:val="center"/>
              <w:rPr>
                <w:rFonts w:ascii="仿宋" w:hAnsi="仿宋" w:eastAsia="仿宋"/>
                <w:sz w:val="24"/>
                <w:szCs w:val="24"/>
              </w:rPr>
            </w:pPr>
            <w:r>
              <w:rPr>
                <w:rFonts w:hint="eastAsia" w:ascii="仿宋" w:hAnsi="仿宋" w:eastAsia="仿宋"/>
                <w:sz w:val="24"/>
                <w:szCs w:val="24"/>
              </w:rPr>
              <w:t>米</w:t>
            </w:r>
          </w:p>
          <w:p w14:paraId="141A2AEC">
            <w:pPr>
              <w:jc w:val="center"/>
              <w:rPr>
                <w:rFonts w:ascii="仿宋" w:hAnsi="仿宋" w:eastAsia="仿宋"/>
                <w:sz w:val="24"/>
                <w:szCs w:val="24"/>
              </w:rPr>
            </w:pPr>
          </w:p>
        </w:tc>
        <w:tc>
          <w:tcPr>
            <w:tcW w:w="1418" w:type="dxa"/>
            <w:tcBorders>
              <w:top w:val="single" w:color="auto" w:sz="4" w:space="0"/>
              <w:left w:val="single" w:color="auto" w:sz="4" w:space="0"/>
              <w:right w:val="single" w:color="auto" w:sz="4" w:space="0"/>
            </w:tcBorders>
            <w:shd w:val="clear" w:color="auto" w:fill="auto"/>
            <w:noWrap/>
            <w:vAlign w:val="center"/>
          </w:tcPr>
          <w:p w14:paraId="26E25263">
            <w:pPr>
              <w:jc w:val="center"/>
              <w:rPr>
                <w:rFonts w:ascii="宋体" w:hAnsi="宋体" w:cs="宋体"/>
                <w:color w:val="000000"/>
                <w:sz w:val="22"/>
              </w:rPr>
            </w:pPr>
            <w:r>
              <w:rPr>
                <w:rFonts w:hint="eastAsia"/>
                <w:color w:val="000000"/>
                <w:sz w:val="22"/>
              </w:rPr>
              <w:t>668</w:t>
            </w:r>
          </w:p>
        </w:tc>
        <w:tc>
          <w:tcPr>
            <w:tcW w:w="1701" w:type="dxa"/>
            <w:tcBorders>
              <w:top w:val="single" w:color="auto" w:sz="4" w:space="0"/>
              <w:left w:val="nil"/>
              <w:right w:val="single" w:color="auto" w:sz="4" w:space="0"/>
            </w:tcBorders>
            <w:shd w:val="clear" w:color="auto" w:fill="auto"/>
            <w:noWrap/>
            <w:vAlign w:val="center"/>
          </w:tcPr>
          <w:p w14:paraId="5660208E">
            <w:pPr>
              <w:jc w:val="center"/>
              <w:rPr>
                <w:rFonts w:ascii="宋体" w:hAnsi="宋体" w:cs="宋体"/>
                <w:color w:val="000000"/>
                <w:sz w:val="22"/>
              </w:rPr>
            </w:pPr>
            <w:r>
              <w:rPr>
                <w:rFonts w:hint="eastAsia"/>
                <w:color w:val="000000"/>
                <w:sz w:val="22"/>
              </w:rPr>
              <w:t xml:space="preserve">592.17 </w:t>
            </w:r>
          </w:p>
        </w:tc>
        <w:tc>
          <w:tcPr>
            <w:tcW w:w="1701" w:type="dxa"/>
            <w:tcBorders>
              <w:top w:val="single" w:color="auto" w:sz="4" w:space="0"/>
              <w:left w:val="nil"/>
              <w:right w:val="single" w:color="auto" w:sz="4" w:space="0"/>
            </w:tcBorders>
            <w:shd w:val="clear" w:color="auto" w:fill="auto"/>
            <w:noWrap/>
            <w:vAlign w:val="center"/>
          </w:tcPr>
          <w:p w14:paraId="05789773">
            <w:pPr>
              <w:jc w:val="center"/>
              <w:rPr>
                <w:rFonts w:ascii="宋体" w:hAnsi="宋体" w:cs="宋体"/>
                <w:color w:val="000000"/>
                <w:sz w:val="22"/>
              </w:rPr>
            </w:pPr>
            <w:r>
              <w:rPr>
                <w:rFonts w:hint="eastAsia"/>
                <w:color w:val="000000"/>
                <w:sz w:val="22"/>
              </w:rPr>
              <w:t xml:space="preserve">395569.56 </w:t>
            </w:r>
          </w:p>
        </w:tc>
      </w:tr>
      <w:tr w14:paraId="147920D9">
        <w:tblPrEx>
          <w:tblCellMar>
            <w:top w:w="0" w:type="dxa"/>
            <w:left w:w="108" w:type="dxa"/>
            <w:bottom w:w="0" w:type="dxa"/>
            <w:right w:w="108" w:type="dxa"/>
          </w:tblCellMar>
        </w:tblPrEx>
        <w:trPr>
          <w:trHeight w:val="915"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C9E95">
            <w:pPr>
              <w:widowControl/>
              <w:jc w:val="center"/>
              <w:rPr>
                <w:rFonts w:ascii="仿宋" w:hAnsi="仿宋" w:eastAsia="仿宋"/>
                <w:sz w:val="24"/>
                <w:szCs w:val="24"/>
              </w:rPr>
            </w:pPr>
            <w:r>
              <w:rPr>
                <w:rFonts w:hint="eastAsia" w:ascii="仿宋" w:hAnsi="仿宋" w:eastAsia="仿宋"/>
                <w:sz w:val="24"/>
                <w:szCs w:val="24"/>
              </w:rPr>
              <w:t>电力电缆</w:t>
            </w:r>
          </w:p>
        </w:tc>
        <w:tc>
          <w:tcPr>
            <w:tcW w:w="2119" w:type="dxa"/>
            <w:tcBorders>
              <w:top w:val="single" w:color="auto" w:sz="4" w:space="0"/>
              <w:left w:val="nil"/>
              <w:bottom w:val="single" w:color="auto" w:sz="4" w:space="0"/>
              <w:right w:val="single" w:color="auto" w:sz="4" w:space="0"/>
            </w:tcBorders>
            <w:shd w:val="clear" w:color="auto" w:fill="auto"/>
            <w:vAlign w:val="center"/>
          </w:tcPr>
          <w:p w14:paraId="674E2AF3">
            <w:pPr>
              <w:jc w:val="center"/>
              <w:rPr>
                <w:rFonts w:ascii="宋体" w:hAnsi="宋体" w:cs="宋体"/>
                <w:color w:val="000000"/>
                <w:sz w:val="22"/>
              </w:rPr>
            </w:pPr>
            <w:r>
              <w:rPr>
                <w:rFonts w:hint="eastAsia"/>
                <w:color w:val="000000"/>
                <w:sz w:val="22"/>
              </w:rPr>
              <w:t>WDZC-YJY-5*16</w:t>
            </w:r>
          </w:p>
        </w:tc>
        <w:tc>
          <w:tcPr>
            <w:tcW w:w="716" w:type="dxa"/>
            <w:tcBorders>
              <w:top w:val="single" w:color="auto" w:sz="4" w:space="0"/>
              <w:left w:val="nil"/>
              <w:bottom w:val="single" w:color="auto" w:sz="4" w:space="0"/>
              <w:right w:val="single" w:color="auto" w:sz="4" w:space="0"/>
            </w:tcBorders>
            <w:shd w:val="clear" w:color="auto" w:fill="auto"/>
            <w:noWrap/>
            <w:vAlign w:val="center"/>
          </w:tcPr>
          <w:p w14:paraId="0261307E">
            <w:pPr>
              <w:widowControl/>
              <w:jc w:val="center"/>
              <w:rPr>
                <w:rFonts w:ascii="仿宋" w:hAnsi="仿宋" w:eastAsia="仿宋"/>
                <w:sz w:val="24"/>
                <w:szCs w:val="24"/>
              </w:rPr>
            </w:pPr>
            <w:r>
              <w:rPr>
                <w:rFonts w:hint="eastAsia" w:ascii="仿宋" w:hAnsi="仿宋" w:eastAsia="仿宋"/>
                <w:sz w:val="24"/>
                <w:szCs w:val="24"/>
              </w:rPr>
              <w:t>米</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07234">
            <w:pPr>
              <w:jc w:val="center"/>
              <w:rPr>
                <w:rFonts w:ascii="宋体" w:hAnsi="宋体" w:cs="宋体"/>
                <w:color w:val="000000"/>
                <w:sz w:val="22"/>
              </w:rPr>
            </w:pPr>
            <w:r>
              <w:rPr>
                <w:rFonts w:hint="eastAsia"/>
                <w:color w:val="000000"/>
                <w:sz w:val="22"/>
              </w:rPr>
              <w:t>210</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B74B955">
            <w:pPr>
              <w:jc w:val="center"/>
              <w:rPr>
                <w:rFonts w:ascii="宋体" w:hAnsi="宋体" w:cs="宋体"/>
                <w:color w:val="000000"/>
                <w:sz w:val="22"/>
              </w:rPr>
            </w:pPr>
            <w:r>
              <w:rPr>
                <w:rFonts w:hint="eastAsia"/>
                <w:color w:val="000000"/>
                <w:sz w:val="22"/>
              </w:rPr>
              <w:t xml:space="preserve">63.50 </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A88A2D4">
            <w:pPr>
              <w:jc w:val="center"/>
              <w:rPr>
                <w:rFonts w:ascii="宋体" w:hAnsi="宋体" w:cs="宋体"/>
                <w:color w:val="000000"/>
                <w:sz w:val="22"/>
              </w:rPr>
            </w:pPr>
            <w:r>
              <w:rPr>
                <w:rFonts w:hint="eastAsia"/>
                <w:color w:val="000000"/>
                <w:sz w:val="22"/>
              </w:rPr>
              <w:t xml:space="preserve">13335.00 </w:t>
            </w:r>
          </w:p>
        </w:tc>
      </w:tr>
      <w:tr w14:paraId="1CC1F26E">
        <w:tblPrEx>
          <w:tblCellMar>
            <w:top w:w="0" w:type="dxa"/>
            <w:left w:w="108" w:type="dxa"/>
            <w:bottom w:w="0" w:type="dxa"/>
            <w:right w:w="108" w:type="dxa"/>
          </w:tblCellMar>
        </w:tblPrEx>
        <w:trPr>
          <w:trHeight w:val="915"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446E9">
            <w:pPr>
              <w:widowControl/>
              <w:jc w:val="center"/>
              <w:rPr>
                <w:rFonts w:ascii="仿宋" w:hAnsi="仿宋" w:eastAsia="仿宋"/>
                <w:sz w:val="24"/>
                <w:szCs w:val="24"/>
              </w:rPr>
            </w:pPr>
            <w:r>
              <w:rPr>
                <w:rFonts w:hint="eastAsia" w:ascii="仿宋" w:hAnsi="仿宋" w:eastAsia="仿宋"/>
                <w:sz w:val="24"/>
                <w:szCs w:val="24"/>
              </w:rPr>
              <w:t>合计</w:t>
            </w:r>
          </w:p>
        </w:tc>
        <w:tc>
          <w:tcPr>
            <w:tcW w:w="7652" w:type="dxa"/>
            <w:gridSpan w:val="5"/>
            <w:tcBorders>
              <w:top w:val="single" w:color="auto" w:sz="4" w:space="0"/>
              <w:bottom w:val="single" w:color="auto" w:sz="4" w:space="0"/>
              <w:right w:val="single" w:color="auto" w:sz="4" w:space="0"/>
            </w:tcBorders>
            <w:shd w:val="clear" w:color="auto" w:fill="auto"/>
          </w:tcPr>
          <w:p w14:paraId="744C177F">
            <w:pPr>
              <w:widowControl/>
              <w:jc w:val="left"/>
            </w:pPr>
            <w:r>
              <w:rPr>
                <w:rFonts w:hint="eastAsia"/>
              </w:rPr>
              <w:t xml:space="preserve">                                                            </w:t>
            </w:r>
          </w:p>
          <w:p w14:paraId="0F215C60">
            <w:pPr>
              <w:widowControl/>
              <w:jc w:val="left"/>
            </w:pPr>
            <w:r>
              <w:rPr>
                <w:rFonts w:hint="eastAsia"/>
              </w:rPr>
              <w:t xml:space="preserve">                                                           1333522.78</w:t>
            </w:r>
          </w:p>
        </w:tc>
      </w:tr>
    </w:tbl>
    <w:p w14:paraId="74402CDD">
      <w:pPr>
        <w:spacing w:line="560" w:lineRule="exact"/>
        <w:ind w:firstLine="560" w:firstLineChars="200"/>
        <w:rPr>
          <w:rFonts w:ascii="仿宋" w:hAnsi="仿宋" w:eastAsia="仿宋"/>
          <w:sz w:val="28"/>
          <w:szCs w:val="28"/>
        </w:rPr>
      </w:pPr>
    </w:p>
    <w:p w14:paraId="218550EE">
      <w:pPr>
        <w:widowControl/>
        <w:jc w:val="left"/>
        <w:rPr>
          <w:rFonts w:ascii="黑体" w:hAnsi="黑体" w:eastAsia="黑体" w:cs="黑体"/>
          <w:bCs/>
          <w:sz w:val="32"/>
          <w:szCs w:val="32"/>
        </w:rPr>
      </w:pPr>
      <w:bookmarkStart w:id="20" w:name="_Toc134452757"/>
      <w:r>
        <w:rPr>
          <w:rFonts w:ascii="黑体" w:hAnsi="黑体" w:eastAsia="黑体" w:cs="黑体"/>
          <w:bCs/>
          <w:sz w:val="32"/>
          <w:szCs w:val="32"/>
        </w:rPr>
        <w:br w:type="page"/>
      </w:r>
    </w:p>
    <w:bookmarkEnd w:id="20"/>
    <w:p w14:paraId="2EDFF898">
      <w:pPr>
        <w:spacing w:line="560" w:lineRule="exact"/>
        <w:jc w:val="center"/>
        <w:rPr>
          <w:rFonts w:ascii="仿宋" w:hAnsi="仿宋" w:eastAsia="仿宋" w:cs="仿宋"/>
          <w:sz w:val="28"/>
          <w:szCs w:val="28"/>
        </w:rPr>
      </w:pPr>
      <w:bookmarkStart w:id="21" w:name="_Toc247514283"/>
      <w:bookmarkStart w:id="22" w:name="_Toc300835213"/>
      <w:bookmarkStart w:id="23" w:name="_Toc152042580"/>
      <w:bookmarkStart w:id="24" w:name="_Toc247527831"/>
      <w:bookmarkStart w:id="25" w:name="_Toc152045791"/>
      <w:bookmarkStart w:id="26" w:name="_Toc144974860"/>
      <w:r>
        <w:rPr>
          <w:rFonts w:hint="eastAsia" w:ascii="仿宋" w:hAnsi="仿宋" w:eastAsia="仿宋" w:cs="仿宋"/>
          <w:sz w:val="32"/>
          <w:szCs w:val="32"/>
        </w:rPr>
        <w:t>法定代表人身份证明</w:t>
      </w:r>
      <w:bookmarkEnd w:id="21"/>
      <w:bookmarkEnd w:id="22"/>
      <w:bookmarkEnd w:id="23"/>
      <w:bookmarkEnd w:id="24"/>
      <w:bookmarkEnd w:id="25"/>
      <w:bookmarkEnd w:id="26"/>
    </w:p>
    <w:p w14:paraId="0EAC03AB">
      <w:pPr>
        <w:spacing w:line="560" w:lineRule="exact"/>
        <w:rPr>
          <w:rFonts w:ascii="仿宋" w:hAnsi="仿宋" w:eastAsia="仿宋" w:cs="仿宋"/>
          <w:sz w:val="28"/>
          <w:szCs w:val="28"/>
        </w:rPr>
      </w:pPr>
    </w:p>
    <w:p w14:paraId="4A1D92F5">
      <w:pPr>
        <w:spacing w:line="560" w:lineRule="exact"/>
        <w:rPr>
          <w:rFonts w:ascii="仿宋" w:hAnsi="仿宋" w:eastAsia="仿宋" w:cs="仿宋"/>
          <w:sz w:val="28"/>
          <w:szCs w:val="28"/>
          <w:u w:val="single"/>
        </w:rPr>
      </w:pPr>
      <w:r>
        <w:rPr>
          <w:rFonts w:hint="eastAsia" w:ascii="仿宋" w:hAnsi="仿宋" w:eastAsia="仿宋" w:cs="仿宋"/>
          <w:sz w:val="28"/>
          <w:szCs w:val="28"/>
        </w:rPr>
        <w:t>供应商名称：</w:t>
      </w:r>
    </w:p>
    <w:p w14:paraId="009E5F5A">
      <w:pPr>
        <w:spacing w:line="560" w:lineRule="exact"/>
        <w:rPr>
          <w:rFonts w:ascii="仿宋" w:hAnsi="仿宋" w:eastAsia="仿宋" w:cs="仿宋"/>
          <w:sz w:val="28"/>
          <w:szCs w:val="28"/>
          <w:u w:val="single"/>
        </w:rPr>
      </w:pPr>
      <w:r>
        <w:rPr>
          <w:rFonts w:hint="eastAsia" w:ascii="仿宋" w:hAnsi="仿宋" w:eastAsia="仿宋" w:cs="仿宋"/>
          <w:sz w:val="28"/>
          <w:szCs w:val="28"/>
        </w:rPr>
        <w:t>单位性质：</w:t>
      </w:r>
    </w:p>
    <w:p w14:paraId="0FAC46F4">
      <w:pPr>
        <w:spacing w:line="560" w:lineRule="exact"/>
        <w:rPr>
          <w:rFonts w:ascii="仿宋" w:hAnsi="仿宋" w:eastAsia="仿宋" w:cs="仿宋"/>
          <w:sz w:val="28"/>
          <w:szCs w:val="28"/>
          <w:u w:val="single"/>
        </w:rPr>
      </w:pPr>
      <w:r>
        <w:rPr>
          <w:rFonts w:hint="eastAsia" w:ascii="仿宋" w:hAnsi="仿宋" w:eastAsia="仿宋" w:cs="仿宋"/>
          <w:sz w:val="28"/>
          <w:szCs w:val="28"/>
        </w:rPr>
        <w:t xml:space="preserve">地址： </w:t>
      </w:r>
    </w:p>
    <w:p w14:paraId="3F4FFE1F">
      <w:pPr>
        <w:spacing w:line="560" w:lineRule="exact"/>
        <w:rPr>
          <w:rFonts w:ascii="仿宋" w:hAnsi="仿宋" w:eastAsia="仿宋" w:cs="仿宋"/>
          <w:sz w:val="28"/>
          <w:szCs w:val="28"/>
        </w:rPr>
      </w:pPr>
      <w:r>
        <w:rPr>
          <w:rFonts w:hint="eastAsia" w:ascii="仿宋" w:hAnsi="仿宋" w:eastAsia="仿宋" w:cs="仿宋"/>
          <w:sz w:val="28"/>
          <w:szCs w:val="28"/>
        </w:rPr>
        <w:t>成立时间： 年  月 日</w:t>
      </w:r>
    </w:p>
    <w:p w14:paraId="03CA1EC5">
      <w:pPr>
        <w:spacing w:line="560" w:lineRule="exact"/>
        <w:rPr>
          <w:rFonts w:ascii="仿宋" w:hAnsi="仿宋" w:eastAsia="仿宋" w:cs="仿宋"/>
          <w:sz w:val="28"/>
          <w:szCs w:val="28"/>
          <w:u w:val="single"/>
        </w:rPr>
      </w:pPr>
      <w:r>
        <w:rPr>
          <w:rFonts w:hint="eastAsia" w:ascii="仿宋" w:hAnsi="仿宋" w:eastAsia="仿宋" w:cs="仿宋"/>
          <w:sz w:val="28"/>
          <w:szCs w:val="28"/>
        </w:rPr>
        <w:t>经营期限：</w:t>
      </w:r>
    </w:p>
    <w:p w14:paraId="0D3783B0">
      <w:pPr>
        <w:spacing w:line="560" w:lineRule="exact"/>
        <w:rPr>
          <w:rFonts w:ascii="仿宋" w:hAnsi="仿宋" w:eastAsia="仿宋" w:cs="仿宋"/>
          <w:sz w:val="28"/>
          <w:szCs w:val="28"/>
        </w:rPr>
      </w:pPr>
    </w:p>
    <w:p w14:paraId="22109041">
      <w:pPr>
        <w:spacing w:line="560" w:lineRule="exact"/>
        <w:rPr>
          <w:rFonts w:ascii="仿宋" w:hAnsi="仿宋" w:eastAsia="仿宋" w:cs="仿宋"/>
          <w:sz w:val="28"/>
          <w:szCs w:val="28"/>
          <w:u w:val="single"/>
        </w:rPr>
      </w:pPr>
      <w:r>
        <w:rPr>
          <w:rFonts w:hint="eastAsia" w:ascii="仿宋" w:hAnsi="仿宋" w:eastAsia="仿宋" w:cs="仿宋"/>
          <w:sz w:val="28"/>
          <w:szCs w:val="28"/>
        </w:rPr>
        <w:t>姓名：    性别：   年龄：    职务：</w:t>
      </w:r>
    </w:p>
    <w:p w14:paraId="4374E3B3">
      <w:pPr>
        <w:spacing w:line="560" w:lineRule="exact"/>
        <w:rPr>
          <w:rFonts w:ascii="仿宋" w:hAnsi="仿宋" w:eastAsia="仿宋" w:cs="仿宋"/>
          <w:sz w:val="28"/>
          <w:szCs w:val="28"/>
        </w:rPr>
      </w:pPr>
      <w:r>
        <w:rPr>
          <w:rFonts w:hint="eastAsia" w:ascii="仿宋" w:hAnsi="仿宋" w:eastAsia="仿宋" w:cs="仿宋"/>
          <w:sz w:val="28"/>
          <w:szCs w:val="28"/>
        </w:rPr>
        <w:t>系 （供应商名称）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7BD2E8BE">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4D6F6FB9">
      <w:pPr>
        <w:spacing w:line="560" w:lineRule="exact"/>
        <w:rPr>
          <w:rFonts w:ascii="仿宋" w:hAnsi="仿宋" w:eastAsia="仿宋" w:cs="仿宋"/>
          <w:sz w:val="28"/>
          <w:szCs w:val="28"/>
        </w:rPr>
      </w:pPr>
    </w:p>
    <w:p w14:paraId="07A001AD">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14:paraId="6AA163AA">
      <w:pPr>
        <w:spacing w:line="560" w:lineRule="exact"/>
        <w:rPr>
          <w:rFonts w:ascii="仿宋" w:hAnsi="仿宋" w:eastAsia="仿宋" w:cs="仿宋"/>
          <w:sz w:val="28"/>
          <w:szCs w:val="28"/>
        </w:rPr>
      </w:pPr>
    </w:p>
    <w:p w14:paraId="5C6FF2C6">
      <w:pPr>
        <w:spacing w:line="560" w:lineRule="exact"/>
        <w:rPr>
          <w:rFonts w:ascii="仿宋" w:hAnsi="仿宋" w:eastAsia="仿宋" w:cs="仿宋"/>
          <w:sz w:val="28"/>
          <w:szCs w:val="28"/>
        </w:rPr>
      </w:pPr>
    </w:p>
    <w:p w14:paraId="33A46599">
      <w:pPr>
        <w:spacing w:line="560" w:lineRule="exact"/>
        <w:rPr>
          <w:rFonts w:ascii="仿宋" w:hAnsi="仿宋" w:eastAsia="仿宋" w:cs="仿宋"/>
          <w:sz w:val="28"/>
          <w:szCs w:val="28"/>
        </w:rPr>
      </w:pPr>
    </w:p>
    <w:p w14:paraId="5C91A8AE">
      <w:pPr>
        <w:spacing w:line="560" w:lineRule="exact"/>
        <w:rPr>
          <w:rFonts w:ascii="仿宋" w:hAnsi="仿宋" w:eastAsia="仿宋" w:cs="仿宋"/>
          <w:sz w:val="28"/>
          <w:szCs w:val="28"/>
        </w:rPr>
      </w:pPr>
    </w:p>
    <w:p w14:paraId="1A27FAE1">
      <w:pPr>
        <w:spacing w:line="560" w:lineRule="exact"/>
        <w:rPr>
          <w:rFonts w:ascii="仿宋" w:hAnsi="仿宋" w:eastAsia="仿宋" w:cs="仿宋"/>
          <w:sz w:val="28"/>
          <w:szCs w:val="28"/>
        </w:rPr>
      </w:pPr>
    </w:p>
    <w:p w14:paraId="032E567C">
      <w:pPr>
        <w:spacing w:line="560" w:lineRule="exact"/>
        <w:rPr>
          <w:rFonts w:ascii="仿宋" w:hAnsi="仿宋" w:eastAsia="仿宋" w:cs="仿宋"/>
          <w:sz w:val="28"/>
          <w:szCs w:val="28"/>
        </w:rPr>
      </w:pPr>
    </w:p>
    <w:p w14:paraId="5F6D65DD">
      <w:pPr>
        <w:spacing w:line="560" w:lineRule="exact"/>
        <w:rPr>
          <w:rFonts w:ascii="仿宋" w:hAnsi="仿宋" w:eastAsia="仿宋" w:cs="仿宋"/>
          <w:sz w:val="28"/>
          <w:szCs w:val="28"/>
        </w:rPr>
      </w:pPr>
    </w:p>
    <w:p w14:paraId="5816BC9D">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14:paraId="55C1C92C">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           </w:t>
      </w:r>
    </w:p>
    <w:p w14:paraId="60481E8F">
      <w:pPr>
        <w:widowControl/>
        <w:autoSpaceDE w:val="0"/>
        <w:autoSpaceDN w:val="0"/>
        <w:adjustRightInd w:val="0"/>
        <w:spacing w:line="560" w:lineRule="exact"/>
        <w:rPr>
          <w:rStyle w:val="43"/>
          <w:rFonts w:cs="仿宋"/>
          <w:sz w:val="24"/>
          <w:szCs w:val="24"/>
        </w:rPr>
      </w:pPr>
      <w:r>
        <w:rPr>
          <w:rStyle w:val="43"/>
          <w:rFonts w:hint="eastAsia" w:cs="仿宋"/>
          <w:sz w:val="24"/>
          <w:szCs w:val="24"/>
        </w:rPr>
        <w:br w:type="page"/>
      </w:r>
      <w:r>
        <w:rPr>
          <w:rStyle w:val="43"/>
          <w:rFonts w:hint="eastAsia" w:cs="仿宋"/>
          <w:sz w:val="24"/>
          <w:szCs w:val="24"/>
        </w:rPr>
        <w:t xml:space="preserve"> </w:t>
      </w:r>
    </w:p>
    <w:p w14:paraId="5530E00E">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14:paraId="47198724">
      <w:pPr>
        <w:widowControl/>
        <w:autoSpaceDE w:val="0"/>
        <w:autoSpaceDN w:val="0"/>
        <w:adjustRightInd w:val="0"/>
        <w:spacing w:line="560" w:lineRule="exact"/>
        <w:rPr>
          <w:rFonts w:ascii="仿宋" w:hAnsi="仿宋" w:eastAsia="仿宋" w:cs="仿宋"/>
          <w:kern w:val="1"/>
          <w:sz w:val="28"/>
          <w:szCs w:val="28"/>
        </w:rPr>
      </w:pPr>
    </w:p>
    <w:p w14:paraId="24206949">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3"/>
          <w:rFonts w:hint="eastAsia" w:cs="仿宋"/>
          <w:sz w:val="28"/>
          <w:szCs w:val="28"/>
        </w:rPr>
        <w:t>：</w:t>
      </w:r>
    </w:p>
    <w:p w14:paraId="78CBC44D">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（供应商名称）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为我公司本次项目的授权代表，代表我方办理本次报价、签约等相关事宜，签署全部有关的文件、协议、合同并具有法律效力。</w:t>
      </w:r>
    </w:p>
    <w:p w14:paraId="2CD93E23">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14:paraId="72F8E6CE">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14:paraId="4B81B70A">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w:t>
      </w:r>
      <w:r>
        <w:rPr>
          <w:rStyle w:val="43"/>
          <w:rFonts w:hint="eastAsia" w:cs="仿宋"/>
          <w:sz w:val="28"/>
          <w:szCs w:val="28"/>
          <w:u w:val="single"/>
        </w:rPr>
        <w:t xml:space="preserve">      </w:t>
      </w:r>
      <w:r>
        <w:rPr>
          <w:rStyle w:val="43"/>
          <w:rFonts w:hint="eastAsia" w:cs="仿宋"/>
          <w:sz w:val="28"/>
          <w:szCs w:val="28"/>
        </w:rPr>
        <w:t>年</w:t>
      </w:r>
      <w:r>
        <w:rPr>
          <w:rStyle w:val="43"/>
          <w:rFonts w:hint="eastAsia" w:cs="仿宋"/>
          <w:sz w:val="28"/>
          <w:szCs w:val="28"/>
          <w:u w:val="single"/>
        </w:rPr>
        <w:t xml:space="preserve">    </w:t>
      </w:r>
      <w:r>
        <w:rPr>
          <w:rStyle w:val="43"/>
          <w:rFonts w:hint="eastAsia" w:cs="仿宋"/>
          <w:sz w:val="28"/>
          <w:szCs w:val="28"/>
        </w:rPr>
        <w:t xml:space="preserve">月 </w:t>
      </w:r>
      <w:r>
        <w:rPr>
          <w:rStyle w:val="43"/>
          <w:rFonts w:hint="eastAsia" w:cs="仿宋"/>
          <w:sz w:val="28"/>
          <w:szCs w:val="28"/>
          <w:u w:val="single"/>
        </w:rPr>
        <w:t xml:space="preserve">    </w:t>
      </w:r>
      <w:r>
        <w:rPr>
          <w:rStyle w:val="43"/>
          <w:rFonts w:hint="eastAsia" w:cs="仿宋"/>
          <w:sz w:val="28"/>
          <w:szCs w:val="28"/>
        </w:rPr>
        <w:t>日起签字生效,特此声明。</w:t>
      </w:r>
    </w:p>
    <w:p w14:paraId="16A2A72A">
      <w:pPr>
        <w:widowControl/>
        <w:autoSpaceDE w:val="0"/>
        <w:autoSpaceDN w:val="0"/>
        <w:adjustRightInd w:val="0"/>
        <w:spacing w:line="560" w:lineRule="exact"/>
        <w:rPr>
          <w:rFonts w:ascii="仿宋" w:hAnsi="仿宋" w:eastAsia="仿宋" w:cs="仿宋"/>
          <w:kern w:val="1"/>
          <w:sz w:val="28"/>
          <w:szCs w:val="28"/>
        </w:rPr>
      </w:pPr>
    </w:p>
    <w:p w14:paraId="6D8B0631">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14:paraId="4F415A09">
      <w:pPr>
        <w:widowControl/>
        <w:autoSpaceDE w:val="0"/>
        <w:autoSpaceDN w:val="0"/>
        <w:adjustRightInd w:val="0"/>
        <w:spacing w:line="560" w:lineRule="exact"/>
        <w:jc w:val="center"/>
        <w:rPr>
          <w:rFonts w:ascii="仿宋" w:hAnsi="仿宋" w:eastAsia="仿宋" w:cs="仿宋"/>
          <w:kern w:val="1"/>
          <w:sz w:val="28"/>
          <w:szCs w:val="28"/>
        </w:rPr>
      </w:pPr>
    </w:p>
    <w:p w14:paraId="6E33E662">
      <w:pPr>
        <w:widowControl/>
        <w:autoSpaceDE w:val="0"/>
        <w:autoSpaceDN w:val="0"/>
        <w:adjustRightInd w:val="0"/>
        <w:spacing w:line="560" w:lineRule="exact"/>
        <w:jc w:val="center"/>
        <w:rPr>
          <w:rFonts w:ascii="仿宋" w:hAnsi="仿宋" w:eastAsia="仿宋" w:cs="仿宋"/>
          <w:kern w:val="1"/>
          <w:sz w:val="28"/>
          <w:szCs w:val="28"/>
        </w:rPr>
      </w:pPr>
    </w:p>
    <w:p w14:paraId="614373D1">
      <w:pPr>
        <w:widowControl/>
        <w:autoSpaceDE w:val="0"/>
        <w:autoSpaceDN w:val="0"/>
        <w:adjustRightInd w:val="0"/>
        <w:spacing w:line="560" w:lineRule="exact"/>
        <w:rPr>
          <w:rStyle w:val="43"/>
          <w:rFonts w:cs="仿宋"/>
          <w:sz w:val="28"/>
          <w:szCs w:val="28"/>
        </w:rPr>
      </w:pPr>
      <w:r>
        <w:rPr>
          <w:rStyle w:val="43"/>
          <w:rFonts w:hint="eastAsia" w:cs="仿宋"/>
          <w:sz w:val="28"/>
          <w:szCs w:val="28"/>
        </w:rPr>
        <w:t>被授权代表姓名：             性 别：              年 龄：</w:t>
      </w:r>
    </w:p>
    <w:p w14:paraId="0B87F0C3">
      <w:pPr>
        <w:widowControl/>
        <w:autoSpaceDE w:val="0"/>
        <w:autoSpaceDN w:val="0"/>
        <w:adjustRightInd w:val="0"/>
        <w:spacing w:line="560" w:lineRule="exact"/>
        <w:rPr>
          <w:rStyle w:val="43"/>
          <w:rFonts w:cs="仿宋"/>
          <w:sz w:val="28"/>
          <w:szCs w:val="28"/>
        </w:rPr>
      </w:pPr>
      <w:r>
        <w:rPr>
          <w:rStyle w:val="43"/>
          <w:rFonts w:hint="eastAsia" w:cs="仿宋"/>
          <w:sz w:val="28"/>
          <w:szCs w:val="28"/>
        </w:rPr>
        <w:t>单  位：                     部 门：              职 务：</w:t>
      </w:r>
    </w:p>
    <w:p w14:paraId="48162078">
      <w:pPr>
        <w:widowControl/>
        <w:autoSpaceDE w:val="0"/>
        <w:autoSpaceDN w:val="0"/>
        <w:adjustRightInd w:val="0"/>
        <w:spacing w:line="560" w:lineRule="exact"/>
        <w:rPr>
          <w:rFonts w:ascii="仿宋" w:hAnsi="仿宋" w:eastAsia="仿宋" w:cs="仿宋"/>
          <w:kern w:val="1"/>
          <w:sz w:val="28"/>
          <w:szCs w:val="28"/>
        </w:rPr>
      </w:pPr>
    </w:p>
    <w:p w14:paraId="5251B740">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供应商（公章）：</w:t>
      </w:r>
    </w:p>
    <w:p w14:paraId="7303D80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法定代表人（签字）：</w:t>
      </w:r>
    </w:p>
    <w:p w14:paraId="4BF8790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14:paraId="59B3E88B">
      <w:pPr>
        <w:widowControl/>
        <w:autoSpaceDE w:val="0"/>
        <w:autoSpaceDN w:val="0"/>
        <w:adjustRightInd w:val="0"/>
        <w:spacing w:line="560" w:lineRule="exact"/>
        <w:rPr>
          <w:rFonts w:ascii="仿宋" w:hAnsi="仿宋" w:eastAsia="仿宋" w:cs="仿宋"/>
          <w:sz w:val="24"/>
          <w:szCs w:val="24"/>
        </w:rPr>
      </w:pPr>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F90C">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2</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725B"/>
    <w:rsid w:val="00047BDA"/>
    <w:rsid w:val="000526A9"/>
    <w:rsid w:val="00053B19"/>
    <w:rsid w:val="00053DEA"/>
    <w:rsid w:val="000545F4"/>
    <w:rsid w:val="00054E4D"/>
    <w:rsid w:val="00057D5B"/>
    <w:rsid w:val="00070F3B"/>
    <w:rsid w:val="00072639"/>
    <w:rsid w:val="00072925"/>
    <w:rsid w:val="00075401"/>
    <w:rsid w:val="00081413"/>
    <w:rsid w:val="000838DA"/>
    <w:rsid w:val="00083915"/>
    <w:rsid w:val="000847B0"/>
    <w:rsid w:val="0008678E"/>
    <w:rsid w:val="00091713"/>
    <w:rsid w:val="0009478B"/>
    <w:rsid w:val="00095E5A"/>
    <w:rsid w:val="000968D0"/>
    <w:rsid w:val="000A3D97"/>
    <w:rsid w:val="000A403E"/>
    <w:rsid w:val="000A416D"/>
    <w:rsid w:val="000A5498"/>
    <w:rsid w:val="000A5DA9"/>
    <w:rsid w:val="000A6840"/>
    <w:rsid w:val="000B6D30"/>
    <w:rsid w:val="000B79C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10179C"/>
    <w:rsid w:val="0010618B"/>
    <w:rsid w:val="001105A1"/>
    <w:rsid w:val="00116CDF"/>
    <w:rsid w:val="0012476C"/>
    <w:rsid w:val="0013287D"/>
    <w:rsid w:val="00134134"/>
    <w:rsid w:val="00134E02"/>
    <w:rsid w:val="001369C5"/>
    <w:rsid w:val="00136D33"/>
    <w:rsid w:val="0013735F"/>
    <w:rsid w:val="001404D8"/>
    <w:rsid w:val="0014169B"/>
    <w:rsid w:val="00145072"/>
    <w:rsid w:val="00147879"/>
    <w:rsid w:val="00151BBC"/>
    <w:rsid w:val="00152BDF"/>
    <w:rsid w:val="00164834"/>
    <w:rsid w:val="00170C48"/>
    <w:rsid w:val="00174687"/>
    <w:rsid w:val="0018289B"/>
    <w:rsid w:val="00185BF5"/>
    <w:rsid w:val="00192766"/>
    <w:rsid w:val="00192C98"/>
    <w:rsid w:val="00196957"/>
    <w:rsid w:val="001A1A23"/>
    <w:rsid w:val="001A21C4"/>
    <w:rsid w:val="001B1D52"/>
    <w:rsid w:val="001B3021"/>
    <w:rsid w:val="001B31E0"/>
    <w:rsid w:val="001B3C10"/>
    <w:rsid w:val="001B7DF1"/>
    <w:rsid w:val="001C0D47"/>
    <w:rsid w:val="001C1133"/>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64F"/>
    <w:rsid w:val="00202D04"/>
    <w:rsid w:val="002033EC"/>
    <w:rsid w:val="00205D69"/>
    <w:rsid w:val="002108AF"/>
    <w:rsid w:val="00220411"/>
    <w:rsid w:val="00220C0D"/>
    <w:rsid w:val="0022191D"/>
    <w:rsid w:val="0022306B"/>
    <w:rsid w:val="0022317B"/>
    <w:rsid w:val="00223BD7"/>
    <w:rsid w:val="0022466F"/>
    <w:rsid w:val="00224AC5"/>
    <w:rsid w:val="00232E85"/>
    <w:rsid w:val="00233FAB"/>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3059"/>
    <w:rsid w:val="00277738"/>
    <w:rsid w:val="00280F75"/>
    <w:rsid w:val="00282C9B"/>
    <w:rsid w:val="002832BB"/>
    <w:rsid w:val="00284883"/>
    <w:rsid w:val="002860EF"/>
    <w:rsid w:val="00286691"/>
    <w:rsid w:val="00286D81"/>
    <w:rsid w:val="002903EF"/>
    <w:rsid w:val="0029173B"/>
    <w:rsid w:val="00291E87"/>
    <w:rsid w:val="00293116"/>
    <w:rsid w:val="00293F02"/>
    <w:rsid w:val="00294078"/>
    <w:rsid w:val="00294C06"/>
    <w:rsid w:val="0029592E"/>
    <w:rsid w:val="00295ABA"/>
    <w:rsid w:val="002A068C"/>
    <w:rsid w:val="002A25C3"/>
    <w:rsid w:val="002A7FBD"/>
    <w:rsid w:val="002B0760"/>
    <w:rsid w:val="002B0D61"/>
    <w:rsid w:val="002B0E43"/>
    <w:rsid w:val="002B346F"/>
    <w:rsid w:val="002B5952"/>
    <w:rsid w:val="002B7D8D"/>
    <w:rsid w:val="002C3E86"/>
    <w:rsid w:val="002C6D83"/>
    <w:rsid w:val="002D09AD"/>
    <w:rsid w:val="002D0BA6"/>
    <w:rsid w:val="002E2CDD"/>
    <w:rsid w:val="002E4791"/>
    <w:rsid w:val="002E6073"/>
    <w:rsid w:val="002F33A1"/>
    <w:rsid w:val="002F4E52"/>
    <w:rsid w:val="00300FDD"/>
    <w:rsid w:val="00301AAD"/>
    <w:rsid w:val="00310700"/>
    <w:rsid w:val="00310D0C"/>
    <w:rsid w:val="0031165D"/>
    <w:rsid w:val="00314984"/>
    <w:rsid w:val="00316770"/>
    <w:rsid w:val="00324EF3"/>
    <w:rsid w:val="00325058"/>
    <w:rsid w:val="00325BB2"/>
    <w:rsid w:val="0033014C"/>
    <w:rsid w:val="003305E1"/>
    <w:rsid w:val="00331890"/>
    <w:rsid w:val="0033579B"/>
    <w:rsid w:val="00335CFE"/>
    <w:rsid w:val="00337157"/>
    <w:rsid w:val="00337677"/>
    <w:rsid w:val="0034100C"/>
    <w:rsid w:val="00342E79"/>
    <w:rsid w:val="00345F3C"/>
    <w:rsid w:val="003479A8"/>
    <w:rsid w:val="00351413"/>
    <w:rsid w:val="0035573F"/>
    <w:rsid w:val="00355A93"/>
    <w:rsid w:val="00355C82"/>
    <w:rsid w:val="0035663E"/>
    <w:rsid w:val="0036010E"/>
    <w:rsid w:val="00360ACF"/>
    <w:rsid w:val="00362414"/>
    <w:rsid w:val="003635C1"/>
    <w:rsid w:val="00374513"/>
    <w:rsid w:val="0038538A"/>
    <w:rsid w:val="0039144B"/>
    <w:rsid w:val="003961B0"/>
    <w:rsid w:val="003A043D"/>
    <w:rsid w:val="003A4057"/>
    <w:rsid w:val="003A7DC0"/>
    <w:rsid w:val="003B3A1A"/>
    <w:rsid w:val="003B5CD9"/>
    <w:rsid w:val="003B6BF5"/>
    <w:rsid w:val="003B7ED7"/>
    <w:rsid w:val="003C1CA6"/>
    <w:rsid w:val="003C3454"/>
    <w:rsid w:val="003D2EAD"/>
    <w:rsid w:val="003D3919"/>
    <w:rsid w:val="003D630F"/>
    <w:rsid w:val="003D76E8"/>
    <w:rsid w:val="003E3685"/>
    <w:rsid w:val="003E4C8B"/>
    <w:rsid w:val="003F031B"/>
    <w:rsid w:val="003F1270"/>
    <w:rsid w:val="003F4397"/>
    <w:rsid w:val="003F485D"/>
    <w:rsid w:val="00400C78"/>
    <w:rsid w:val="00400F47"/>
    <w:rsid w:val="00402253"/>
    <w:rsid w:val="00402F72"/>
    <w:rsid w:val="00404905"/>
    <w:rsid w:val="00404B21"/>
    <w:rsid w:val="004062D4"/>
    <w:rsid w:val="004062D7"/>
    <w:rsid w:val="00411CB2"/>
    <w:rsid w:val="004151AA"/>
    <w:rsid w:val="00420E31"/>
    <w:rsid w:val="00432FB1"/>
    <w:rsid w:val="00434BC0"/>
    <w:rsid w:val="004359BE"/>
    <w:rsid w:val="0043685A"/>
    <w:rsid w:val="00436A01"/>
    <w:rsid w:val="0043720C"/>
    <w:rsid w:val="004378DD"/>
    <w:rsid w:val="00441E4E"/>
    <w:rsid w:val="004421EC"/>
    <w:rsid w:val="00442503"/>
    <w:rsid w:val="004431E3"/>
    <w:rsid w:val="00453487"/>
    <w:rsid w:val="00453AB1"/>
    <w:rsid w:val="004630EE"/>
    <w:rsid w:val="00470155"/>
    <w:rsid w:val="00470932"/>
    <w:rsid w:val="00472D49"/>
    <w:rsid w:val="004741A0"/>
    <w:rsid w:val="00474B72"/>
    <w:rsid w:val="004779E6"/>
    <w:rsid w:val="00484384"/>
    <w:rsid w:val="00485CE1"/>
    <w:rsid w:val="00486DD6"/>
    <w:rsid w:val="00493BE4"/>
    <w:rsid w:val="004968A2"/>
    <w:rsid w:val="004A08F9"/>
    <w:rsid w:val="004A1B73"/>
    <w:rsid w:val="004A3710"/>
    <w:rsid w:val="004A5490"/>
    <w:rsid w:val="004B0792"/>
    <w:rsid w:val="004B7CC7"/>
    <w:rsid w:val="004C3BB2"/>
    <w:rsid w:val="004C6B00"/>
    <w:rsid w:val="004D3BB6"/>
    <w:rsid w:val="004D424D"/>
    <w:rsid w:val="004D670A"/>
    <w:rsid w:val="004D6E3B"/>
    <w:rsid w:val="004D7CB1"/>
    <w:rsid w:val="004E2DA7"/>
    <w:rsid w:val="004F0787"/>
    <w:rsid w:val="004F2902"/>
    <w:rsid w:val="005048B8"/>
    <w:rsid w:val="00511276"/>
    <w:rsid w:val="0052176F"/>
    <w:rsid w:val="00523F03"/>
    <w:rsid w:val="0052406E"/>
    <w:rsid w:val="00525736"/>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77F0"/>
    <w:rsid w:val="00572BC9"/>
    <w:rsid w:val="00572E10"/>
    <w:rsid w:val="00573183"/>
    <w:rsid w:val="00573B08"/>
    <w:rsid w:val="00574581"/>
    <w:rsid w:val="005746A7"/>
    <w:rsid w:val="00574BF6"/>
    <w:rsid w:val="00580835"/>
    <w:rsid w:val="00582294"/>
    <w:rsid w:val="005826D8"/>
    <w:rsid w:val="00587CE5"/>
    <w:rsid w:val="00591523"/>
    <w:rsid w:val="005942D1"/>
    <w:rsid w:val="0059465E"/>
    <w:rsid w:val="00597C3F"/>
    <w:rsid w:val="005A3578"/>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E4CCA"/>
    <w:rsid w:val="005F23AF"/>
    <w:rsid w:val="005F2E80"/>
    <w:rsid w:val="005F5903"/>
    <w:rsid w:val="006010C0"/>
    <w:rsid w:val="006055AA"/>
    <w:rsid w:val="006055E4"/>
    <w:rsid w:val="006179CC"/>
    <w:rsid w:val="00630E4B"/>
    <w:rsid w:val="006321B7"/>
    <w:rsid w:val="00636209"/>
    <w:rsid w:val="00642238"/>
    <w:rsid w:val="006508FB"/>
    <w:rsid w:val="00651B6A"/>
    <w:rsid w:val="00654F08"/>
    <w:rsid w:val="00656959"/>
    <w:rsid w:val="006626EF"/>
    <w:rsid w:val="00663EAB"/>
    <w:rsid w:val="0066419D"/>
    <w:rsid w:val="006654F7"/>
    <w:rsid w:val="00665F6C"/>
    <w:rsid w:val="00667E93"/>
    <w:rsid w:val="0067580A"/>
    <w:rsid w:val="00676C80"/>
    <w:rsid w:val="006818C9"/>
    <w:rsid w:val="00686656"/>
    <w:rsid w:val="00695B00"/>
    <w:rsid w:val="00697E94"/>
    <w:rsid w:val="00697F39"/>
    <w:rsid w:val="006A0655"/>
    <w:rsid w:val="006A215E"/>
    <w:rsid w:val="006A5798"/>
    <w:rsid w:val="006B03C1"/>
    <w:rsid w:val="006B26B8"/>
    <w:rsid w:val="006B3266"/>
    <w:rsid w:val="006B4B61"/>
    <w:rsid w:val="006C37FE"/>
    <w:rsid w:val="006C60D4"/>
    <w:rsid w:val="006C689F"/>
    <w:rsid w:val="006C7358"/>
    <w:rsid w:val="006D0B30"/>
    <w:rsid w:val="006D23D0"/>
    <w:rsid w:val="006D3F3D"/>
    <w:rsid w:val="006D4414"/>
    <w:rsid w:val="006E3A19"/>
    <w:rsid w:val="006E522C"/>
    <w:rsid w:val="006F0113"/>
    <w:rsid w:val="006F3102"/>
    <w:rsid w:val="006F31A4"/>
    <w:rsid w:val="006F453C"/>
    <w:rsid w:val="006F7EF9"/>
    <w:rsid w:val="007000D8"/>
    <w:rsid w:val="0070111F"/>
    <w:rsid w:val="00701A4E"/>
    <w:rsid w:val="00702E0E"/>
    <w:rsid w:val="00703107"/>
    <w:rsid w:val="00705D12"/>
    <w:rsid w:val="007074CD"/>
    <w:rsid w:val="00712E11"/>
    <w:rsid w:val="00720495"/>
    <w:rsid w:val="007275DF"/>
    <w:rsid w:val="007313BC"/>
    <w:rsid w:val="0073191D"/>
    <w:rsid w:val="00732220"/>
    <w:rsid w:val="00732EBB"/>
    <w:rsid w:val="00735862"/>
    <w:rsid w:val="007458C0"/>
    <w:rsid w:val="00753BF1"/>
    <w:rsid w:val="00753EF1"/>
    <w:rsid w:val="00754B36"/>
    <w:rsid w:val="007556E3"/>
    <w:rsid w:val="007576A3"/>
    <w:rsid w:val="007608CF"/>
    <w:rsid w:val="00760CDB"/>
    <w:rsid w:val="00761787"/>
    <w:rsid w:val="00762954"/>
    <w:rsid w:val="00762CC6"/>
    <w:rsid w:val="00765EFC"/>
    <w:rsid w:val="007667B2"/>
    <w:rsid w:val="00767634"/>
    <w:rsid w:val="007764C0"/>
    <w:rsid w:val="0078245C"/>
    <w:rsid w:val="007862E0"/>
    <w:rsid w:val="0078632B"/>
    <w:rsid w:val="00787685"/>
    <w:rsid w:val="0079049E"/>
    <w:rsid w:val="00795A60"/>
    <w:rsid w:val="00796013"/>
    <w:rsid w:val="00797F34"/>
    <w:rsid w:val="007A0A74"/>
    <w:rsid w:val="007A3906"/>
    <w:rsid w:val="007A4DCA"/>
    <w:rsid w:val="007A5A55"/>
    <w:rsid w:val="007A7017"/>
    <w:rsid w:val="007B1CAA"/>
    <w:rsid w:val="007B36C4"/>
    <w:rsid w:val="007C3902"/>
    <w:rsid w:val="007C659E"/>
    <w:rsid w:val="007C773F"/>
    <w:rsid w:val="007D5AA2"/>
    <w:rsid w:val="007E080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6909"/>
    <w:rsid w:val="00806F0F"/>
    <w:rsid w:val="00806F5F"/>
    <w:rsid w:val="0081610D"/>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E7D"/>
    <w:rsid w:val="00860959"/>
    <w:rsid w:val="0086155A"/>
    <w:rsid w:val="0086208E"/>
    <w:rsid w:val="00867EFE"/>
    <w:rsid w:val="008707E3"/>
    <w:rsid w:val="008713B1"/>
    <w:rsid w:val="00874DC7"/>
    <w:rsid w:val="00875F30"/>
    <w:rsid w:val="008774CC"/>
    <w:rsid w:val="00880019"/>
    <w:rsid w:val="00881009"/>
    <w:rsid w:val="00882112"/>
    <w:rsid w:val="00882FE9"/>
    <w:rsid w:val="00895112"/>
    <w:rsid w:val="00895E20"/>
    <w:rsid w:val="00896E79"/>
    <w:rsid w:val="008A33B7"/>
    <w:rsid w:val="008A45E7"/>
    <w:rsid w:val="008A5DAF"/>
    <w:rsid w:val="008A7B2B"/>
    <w:rsid w:val="008B1CDB"/>
    <w:rsid w:val="008B3024"/>
    <w:rsid w:val="008B3CBD"/>
    <w:rsid w:val="008B4923"/>
    <w:rsid w:val="008B4993"/>
    <w:rsid w:val="008B54DF"/>
    <w:rsid w:val="008B5EF6"/>
    <w:rsid w:val="008B6594"/>
    <w:rsid w:val="008B663B"/>
    <w:rsid w:val="008B6D77"/>
    <w:rsid w:val="008B737D"/>
    <w:rsid w:val="008B7904"/>
    <w:rsid w:val="008C415E"/>
    <w:rsid w:val="008C71D6"/>
    <w:rsid w:val="008C754E"/>
    <w:rsid w:val="008C7619"/>
    <w:rsid w:val="008C7AB3"/>
    <w:rsid w:val="008C7DC7"/>
    <w:rsid w:val="008D0BDA"/>
    <w:rsid w:val="008D1CC2"/>
    <w:rsid w:val="008D1D9D"/>
    <w:rsid w:val="008D4C70"/>
    <w:rsid w:val="008E1128"/>
    <w:rsid w:val="008E4F94"/>
    <w:rsid w:val="008E76A8"/>
    <w:rsid w:val="008F54BE"/>
    <w:rsid w:val="008F56A9"/>
    <w:rsid w:val="008F7334"/>
    <w:rsid w:val="008F7577"/>
    <w:rsid w:val="009030B4"/>
    <w:rsid w:val="00911B73"/>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2C6B"/>
    <w:rsid w:val="00955616"/>
    <w:rsid w:val="00955D49"/>
    <w:rsid w:val="0095603D"/>
    <w:rsid w:val="00957B8B"/>
    <w:rsid w:val="00961005"/>
    <w:rsid w:val="00962CB1"/>
    <w:rsid w:val="009637C2"/>
    <w:rsid w:val="009659F2"/>
    <w:rsid w:val="0097131C"/>
    <w:rsid w:val="009714BF"/>
    <w:rsid w:val="00971502"/>
    <w:rsid w:val="0097208F"/>
    <w:rsid w:val="009747A7"/>
    <w:rsid w:val="00974F9F"/>
    <w:rsid w:val="00975580"/>
    <w:rsid w:val="00980770"/>
    <w:rsid w:val="00982ABC"/>
    <w:rsid w:val="0098536E"/>
    <w:rsid w:val="0098782B"/>
    <w:rsid w:val="00991BEA"/>
    <w:rsid w:val="0099591F"/>
    <w:rsid w:val="00995968"/>
    <w:rsid w:val="009A19EE"/>
    <w:rsid w:val="009A1E9A"/>
    <w:rsid w:val="009A4B15"/>
    <w:rsid w:val="009A6353"/>
    <w:rsid w:val="009B0ABF"/>
    <w:rsid w:val="009B19DD"/>
    <w:rsid w:val="009B2CE1"/>
    <w:rsid w:val="009B53A8"/>
    <w:rsid w:val="009B5834"/>
    <w:rsid w:val="009B642F"/>
    <w:rsid w:val="009B64A9"/>
    <w:rsid w:val="009C1483"/>
    <w:rsid w:val="009C2D85"/>
    <w:rsid w:val="009C4213"/>
    <w:rsid w:val="009C5EB2"/>
    <w:rsid w:val="009C71CE"/>
    <w:rsid w:val="009D2DC3"/>
    <w:rsid w:val="009D3425"/>
    <w:rsid w:val="009D7683"/>
    <w:rsid w:val="009E28D0"/>
    <w:rsid w:val="009E4B07"/>
    <w:rsid w:val="009E4C5B"/>
    <w:rsid w:val="009E51F4"/>
    <w:rsid w:val="009F1260"/>
    <w:rsid w:val="009F1BC8"/>
    <w:rsid w:val="009F37C6"/>
    <w:rsid w:val="00A017D5"/>
    <w:rsid w:val="00A02866"/>
    <w:rsid w:val="00A04418"/>
    <w:rsid w:val="00A044FC"/>
    <w:rsid w:val="00A104EC"/>
    <w:rsid w:val="00A118AD"/>
    <w:rsid w:val="00A1303E"/>
    <w:rsid w:val="00A269FB"/>
    <w:rsid w:val="00A31993"/>
    <w:rsid w:val="00A36A67"/>
    <w:rsid w:val="00A437F9"/>
    <w:rsid w:val="00A46AB4"/>
    <w:rsid w:val="00A50087"/>
    <w:rsid w:val="00A50DB8"/>
    <w:rsid w:val="00A53064"/>
    <w:rsid w:val="00A63E21"/>
    <w:rsid w:val="00A64087"/>
    <w:rsid w:val="00A660C6"/>
    <w:rsid w:val="00A70354"/>
    <w:rsid w:val="00A73160"/>
    <w:rsid w:val="00A7468D"/>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E00E3"/>
    <w:rsid w:val="00AE081F"/>
    <w:rsid w:val="00AE3E3B"/>
    <w:rsid w:val="00AE74B1"/>
    <w:rsid w:val="00AF0148"/>
    <w:rsid w:val="00AF1DF5"/>
    <w:rsid w:val="00AF2ABD"/>
    <w:rsid w:val="00B05192"/>
    <w:rsid w:val="00B06192"/>
    <w:rsid w:val="00B12660"/>
    <w:rsid w:val="00B13E47"/>
    <w:rsid w:val="00B23491"/>
    <w:rsid w:val="00B304CD"/>
    <w:rsid w:val="00B346A1"/>
    <w:rsid w:val="00B37478"/>
    <w:rsid w:val="00B43B7F"/>
    <w:rsid w:val="00B44470"/>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48CF"/>
    <w:rsid w:val="00B9500B"/>
    <w:rsid w:val="00B956D8"/>
    <w:rsid w:val="00B96A69"/>
    <w:rsid w:val="00B9720A"/>
    <w:rsid w:val="00B97C3E"/>
    <w:rsid w:val="00B97FF7"/>
    <w:rsid w:val="00BA06A6"/>
    <w:rsid w:val="00BA2610"/>
    <w:rsid w:val="00BB263B"/>
    <w:rsid w:val="00BB26AB"/>
    <w:rsid w:val="00BB3D0F"/>
    <w:rsid w:val="00BB4CE4"/>
    <w:rsid w:val="00BB7D29"/>
    <w:rsid w:val="00BC127B"/>
    <w:rsid w:val="00BC414D"/>
    <w:rsid w:val="00BD2006"/>
    <w:rsid w:val="00BD27A6"/>
    <w:rsid w:val="00BD4679"/>
    <w:rsid w:val="00BD5E58"/>
    <w:rsid w:val="00BD6FF7"/>
    <w:rsid w:val="00BE00C5"/>
    <w:rsid w:val="00BE0920"/>
    <w:rsid w:val="00BE621B"/>
    <w:rsid w:val="00BE6406"/>
    <w:rsid w:val="00BE6886"/>
    <w:rsid w:val="00BE6CED"/>
    <w:rsid w:val="00BF14CE"/>
    <w:rsid w:val="00BF30FD"/>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5DC0"/>
    <w:rsid w:val="00C37151"/>
    <w:rsid w:val="00C37344"/>
    <w:rsid w:val="00C37636"/>
    <w:rsid w:val="00C42105"/>
    <w:rsid w:val="00C51F25"/>
    <w:rsid w:val="00C52A03"/>
    <w:rsid w:val="00C55F17"/>
    <w:rsid w:val="00C56A82"/>
    <w:rsid w:val="00C61AF1"/>
    <w:rsid w:val="00C627FB"/>
    <w:rsid w:val="00C7493E"/>
    <w:rsid w:val="00C76A97"/>
    <w:rsid w:val="00C848A7"/>
    <w:rsid w:val="00C86661"/>
    <w:rsid w:val="00C95F7D"/>
    <w:rsid w:val="00CA06AF"/>
    <w:rsid w:val="00CA0851"/>
    <w:rsid w:val="00CA1546"/>
    <w:rsid w:val="00CB05C5"/>
    <w:rsid w:val="00CC0311"/>
    <w:rsid w:val="00CC121C"/>
    <w:rsid w:val="00CC5DA9"/>
    <w:rsid w:val="00CC7B88"/>
    <w:rsid w:val="00CD0434"/>
    <w:rsid w:val="00CD1798"/>
    <w:rsid w:val="00CD26E9"/>
    <w:rsid w:val="00CD3A47"/>
    <w:rsid w:val="00CD4871"/>
    <w:rsid w:val="00CD5531"/>
    <w:rsid w:val="00CE301F"/>
    <w:rsid w:val="00CE67B4"/>
    <w:rsid w:val="00CE7107"/>
    <w:rsid w:val="00CF0F23"/>
    <w:rsid w:val="00CF10C9"/>
    <w:rsid w:val="00CF4A8B"/>
    <w:rsid w:val="00CF552F"/>
    <w:rsid w:val="00D020D8"/>
    <w:rsid w:val="00D025AF"/>
    <w:rsid w:val="00D068C3"/>
    <w:rsid w:val="00D06CFC"/>
    <w:rsid w:val="00D108F0"/>
    <w:rsid w:val="00D1140C"/>
    <w:rsid w:val="00D114F3"/>
    <w:rsid w:val="00D1245A"/>
    <w:rsid w:val="00D17AAB"/>
    <w:rsid w:val="00D203E7"/>
    <w:rsid w:val="00D2670F"/>
    <w:rsid w:val="00D40E8E"/>
    <w:rsid w:val="00D46EDF"/>
    <w:rsid w:val="00D47747"/>
    <w:rsid w:val="00D47DA5"/>
    <w:rsid w:val="00D53B44"/>
    <w:rsid w:val="00D54E51"/>
    <w:rsid w:val="00D56995"/>
    <w:rsid w:val="00D56B5D"/>
    <w:rsid w:val="00D61976"/>
    <w:rsid w:val="00D65D9C"/>
    <w:rsid w:val="00D73E9F"/>
    <w:rsid w:val="00D80B19"/>
    <w:rsid w:val="00D8104F"/>
    <w:rsid w:val="00D8598D"/>
    <w:rsid w:val="00D86328"/>
    <w:rsid w:val="00D92EC8"/>
    <w:rsid w:val="00D93246"/>
    <w:rsid w:val="00D944BA"/>
    <w:rsid w:val="00D96BD0"/>
    <w:rsid w:val="00D97D24"/>
    <w:rsid w:val="00DA2A3C"/>
    <w:rsid w:val="00DA491F"/>
    <w:rsid w:val="00DA6876"/>
    <w:rsid w:val="00DA69AF"/>
    <w:rsid w:val="00DA7DD7"/>
    <w:rsid w:val="00DB176F"/>
    <w:rsid w:val="00DB2CD6"/>
    <w:rsid w:val="00DB725B"/>
    <w:rsid w:val="00DB789D"/>
    <w:rsid w:val="00DC0F0B"/>
    <w:rsid w:val="00DC16F6"/>
    <w:rsid w:val="00DC47D7"/>
    <w:rsid w:val="00DC70E7"/>
    <w:rsid w:val="00DD1A28"/>
    <w:rsid w:val="00DD4A54"/>
    <w:rsid w:val="00DD4F42"/>
    <w:rsid w:val="00DD5B62"/>
    <w:rsid w:val="00DD68E8"/>
    <w:rsid w:val="00DE06DD"/>
    <w:rsid w:val="00DE35D1"/>
    <w:rsid w:val="00DE48E7"/>
    <w:rsid w:val="00DE740A"/>
    <w:rsid w:val="00DF1C88"/>
    <w:rsid w:val="00DF20F7"/>
    <w:rsid w:val="00DF4428"/>
    <w:rsid w:val="00DF4518"/>
    <w:rsid w:val="00E01F5C"/>
    <w:rsid w:val="00E03771"/>
    <w:rsid w:val="00E0474C"/>
    <w:rsid w:val="00E072B7"/>
    <w:rsid w:val="00E14C81"/>
    <w:rsid w:val="00E21EBE"/>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487D"/>
    <w:rsid w:val="00E657E3"/>
    <w:rsid w:val="00E66218"/>
    <w:rsid w:val="00E72FC9"/>
    <w:rsid w:val="00E73859"/>
    <w:rsid w:val="00E7521A"/>
    <w:rsid w:val="00E7749F"/>
    <w:rsid w:val="00E8452A"/>
    <w:rsid w:val="00E860DD"/>
    <w:rsid w:val="00E928F9"/>
    <w:rsid w:val="00EA6059"/>
    <w:rsid w:val="00EA6202"/>
    <w:rsid w:val="00EA6475"/>
    <w:rsid w:val="00EB58F6"/>
    <w:rsid w:val="00EB7BAC"/>
    <w:rsid w:val="00EC3C9A"/>
    <w:rsid w:val="00EC48A1"/>
    <w:rsid w:val="00EC5361"/>
    <w:rsid w:val="00EC5420"/>
    <w:rsid w:val="00ED2C30"/>
    <w:rsid w:val="00ED40F7"/>
    <w:rsid w:val="00ED4EB6"/>
    <w:rsid w:val="00ED5ABC"/>
    <w:rsid w:val="00ED6EF1"/>
    <w:rsid w:val="00EE1269"/>
    <w:rsid w:val="00EE193E"/>
    <w:rsid w:val="00EE5981"/>
    <w:rsid w:val="00EE75F7"/>
    <w:rsid w:val="00EF1240"/>
    <w:rsid w:val="00EF20F3"/>
    <w:rsid w:val="00EF25A9"/>
    <w:rsid w:val="00EF3A62"/>
    <w:rsid w:val="00EF3D39"/>
    <w:rsid w:val="00EF47A7"/>
    <w:rsid w:val="00EF4EC0"/>
    <w:rsid w:val="00EF7E02"/>
    <w:rsid w:val="00F05317"/>
    <w:rsid w:val="00F06AA8"/>
    <w:rsid w:val="00F11134"/>
    <w:rsid w:val="00F11146"/>
    <w:rsid w:val="00F22CE5"/>
    <w:rsid w:val="00F25274"/>
    <w:rsid w:val="00F30D97"/>
    <w:rsid w:val="00F324DF"/>
    <w:rsid w:val="00F3620E"/>
    <w:rsid w:val="00F3759E"/>
    <w:rsid w:val="00F37714"/>
    <w:rsid w:val="00F37A5A"/>
    <w:rsid w:val="00F4328C"/>
    <w:rsid w:val="00F43F0D"/>
    <w:rsid w:val="00F476DA"/>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661"/>
    <w:rsid w:val="00F87C56"/>
    <w:rsid w:val="00F93739"/>
    <w:rsid w:val="00F9728D"/>
    <w:rsid w:val="00FA6990"/>
    <w:rsid w:val="00FB1AFB"/>
    <w:rsid w:val="00FB1C3A"/>
    <w:rsid w:val="00FB26F7"/>
    <w:rsid w:val="00FB2C1B"/>
    <w:rsid w:val="00FB45E4"/>
    <w:rsid w:val="00FB481D"/>
    <w:rsid w:val="00FB49DD"/>
    <w:rsid w:val="00FC0ADF"/>
    <w:rsid w:val="00FC2951"/>
    <w:rsid w:val="00FC3570"/>
    <w:rsid w:val="00FC6E2A"/>
    <w:rsid w:val="00FD4A22"/>
    <w:rsid w:val="00FD5B62"/>
    <w:rsid w:val="00FE01D9"/>
    <w:rsid w:val="00FE5808"/>
    <w:rsid w:val="00FE699B"/>
    <w:rsid w:val="00FF44DD"/>
    <w:rsid w:val="00FF7504"/>
    <w:rsid w:val="04C70B93"/>
    <w:rsid w:val="05BF54E7"/>
    <w:rsid w:val="09302B22"/>
    <w:rsid w:val="093A12E4"/>
    <w:rsid w:val="0B003157"/>
    <w:rsid w:val="0C667EA6"/>
    <w:rsid w:val="11072A94"/>
    <w:rsid w:val="13FC1FA7"/>
    <w:rsid w:val="156D4658"/>
    <w:rsid w:val="19F1668A"/>
    <w:rsid w:val="1D186811"/>
    <w:rsid w:val="1D5D189B"/>
    <w:rsid w:val="1DCD6AB3"/>
    <w:rsid w:val="219A5FA9"/>
    <w:rsid w:val="23E0478E"/>
    <w:rsid w:val="24C43A2C"/>
    <w:rsid w:val="26C52111"/>
    <w:rsid w:val="27E76110"/>
    <w:rsid w:val="2AB9711D"/>
    <w:rsid w:val="2B2937A5"/>
    <w:rsid w:val="2DEF26D6"/>
    <w:rsid w:val="35FA38AD"/>
    <w:rsid w:val="367810B3"/>
    <w:rsid w:val="37E94405"/>
    <w:rsid w:val="3A714E4B"/>
    <w:rsid w:val="3B24224C"/>
    <w:rsid w:val="3B466628"/>
    <w:rsid w:val="3D460945"/>
    <w:rsid w:val="41DB4140"/>
    <w:rsid w:val="452D76AA"/>
    <w:rsid w:val="4E112440"/>
    <w:rsid w:val="4E2D31EF"/>
    <w:rsid w:val="4E6E236A"/>
    <w:rsid w:val="4E985EB2"/>
    <w:rsid w:val="4FC058C6"/>
    <w:rsid w:val="510C5E54"/>
    <w:rsid w:val="51575697"/>
    <w:rsid w:val="52216A9B"/>
    <w:rsid w:val="52427E13"/>
    <w:rsid w:val="547418E3"/>
    <w:rsid w:val="57E71486"/>
    <w:rsid w:val="59943EF2"/>
    <w:rsid w:val="5A1C03AD"/>
    <w:rsid w:val="5ADE61AD"/>
    <w:rsid w:val="5B9A25B0"/>
    <w:rsid w:val="5C82428E"/>
    <w:rsid w:val="5F251B4F"/>
    <w:rsid w:val="60E44589"/>
    <w:rsid w:val="614B680F"/>
    <w:rsid w:val="62A74B7D"/>
    <w:rsid w:val="66C467C4"/>
    <w:rsid w:val="6BCA7704"/>
    <w:rsid w:val="6C2F5391"/>
    <w:rsid w:val="6FB94521"/>
    <w:rsid w:val="7322493E"/>
    <w:rsid w:val="73FA3EA6"/>
    <w:rsid w:val="794719E5"/>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shd w:val="clear" w:color="auto" w:fill="FFFFFF"/>
      <w:tabs>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ind w:left="2408" w:hanging="2408" w:hangingChars="860"/>
      <w:jc w:val="left"/>
    </w:pPr>
    <w:rPr>
      <w:rFonts w:ascii="宋体" w:hAnsi="宋体" w:cs="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autoRedefine/>
    <w:qFormat/>
    <w:locked/>
    <w:uiPriority w:val="0"/>
    <w:rPr>
      <w:rFonts w:ascii="宋体" w:hAnsi="Courier New"/>
      <w:kern w:val="2"/>
      <w:sz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宋体" w:hAnsi="宋体" w:cs="宋体"/>
      <w:sz w:val="24"/>
      <w:szCs w:val="24"/>
      <w:shd w:val="clear" w:color="auto" w:fill="FFFFFF"/>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text_utvkh"/>
    <w:basedOn w:val="3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8D6A-7F07-4C86-AB1E-02651759C68E}">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7</Pages>
  <Words>2040</Words>
  <Characters>2415</Characters>
  <Lines>21</Lines>
  <Paragraphs>6</Paragraphs>
  <TotalTime>456</TotalTime>
  <ScaleCrop>false</ScaleCrop>
  <LinksUpToDate>false</LinksUpToDate>
  <CharactersWithSpaces>2936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Administrator</cp:lastModifiedBy>
  <cp:lastPrinted>2024-07-31T07:13:00Z</cp:lastPrinted>
  <dcterms:modified xsi:type="dcterms:W3CDTF">2024-08-01T07:51:46Z</dcterms:modified>
  <dc:subject>青岛市政府采购采购文件范本</dc:subject>
  <dc:title>青岛市政府采购采购文件范本</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AB0E5AE9865C4900B2552F388743600E</vt:lpwstr>
  </property>
</Properties>
</file>