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A3205">
      <w:pPr>
        <w:pStyle w:val="2"/>
        <w:jc w:val="center"/>
        <w:rPr>
          <w:rFonts w:ascii="黑体" w:hAnsi="黑体" w:eastAsia="黑体"/>
          <w:sz w:val="32"/>
          <w:szCs w:val="32"/>
          <w:highlight w:val="none"/>
        </w:rPr>
      </w:pPr>
      <w:bookmarkStart w:id="0" w:name="_Toc134452747"/>
      <w:bookmarkStart w:id="1" w:name="_Toc173506133"/>
      <w:r>
        <w:rPr>
          <w:rFonts w:hint="eastAsia" w:ascii="黑体" w:hAnsi="黑体" w:eastAsia="黑体"/>
          <w:sz w:val="32"/>
          <w:szCs w:val="32"/>
          <w:highlight w:val="none"/>
        </w:rPr>
        <w:t>采购公告</w:t>
      </w:r>
      <w:bookmarkEnd w:id="0"/>
      <w:bookmarkEnd w:id="1"/>
    </w:p>
    <w:p w14:paraId="56C2D839">
      <w:pPr>
        <w:widowControl/>
        <w:spacing w:line="560" w:lineRule="exact"/>
        <w:ind w:firstLine="140" w:firstLineChars="50"/>
        <w:jc w:val="left"/>
        <w:rPr>
          <w:rFonts w:ascii="仿宋" w:hAnsi="仿宋" w:eastAsia="仿宋"/>
          <w:sz w:val="28"/>
          <w:szCs w:val="28"/>
          <w:highlight w:val="none"/>
        </w:rPr>
      </w:pPr>
      <w:r>
        <w:rPr>
          <w:rFonts w:hint="eastAsia" w:ascii="仿宋" w:hAnsi="仿宋" w:eastAsia="仿宋"/>
          <w:sz w:val="28"/>
          <w:szCs w:val="28"/>
          <w:highlight w:val="none"/>
        </w:rPr>
        <w:t xml:space="preserve">    我公司现对青岛网谷充电桩一期建设项目所需的充电桩设备进行采购，欢迎符合条件的供应商参加，具体要求如下：</w:t>
      </w:r>
    </w:p>
    <w:p w14:paraId="1A38CD86">
      <w:pPr>
        <w:widowControl/>
        <w:spacing w:line="560" w:lineRule="exact"/>
        <w:ind w:firstLine="140" w:firstLineChars="50"/>
        <w:jc w:val="left"/>
        <w:rPr>
          <w:rFonts w:ascii="仿宋" w:hAnsi="仿宋" w:eastAsia="仿宋"/>
          <w:sz w:val="28"/>
          <w:szCs w:val="28"/>
          <w:highlight w:val="none"/>
        </w:rPr>
      </w:pPr>
      <w:r>
        <w:rPr>
          <w:rFonts w:hint="eastAsia" w:ascii="仿宋" w:hAnsi="仿宋" w:eastAsia="仿宋"/>
          <w:sz w:val="28"/>
          <w:szCs w:val="28"/>
          <w:highlight w:val="none"/>
        </w:rPr>
        <w:t xml:space="preserve">   1.项目名称：青岛网谷充电桩一期建设项目充电桩设备采购   </w:t>
      </w:r>
    </w:p>
    <w:p w14:paraId="414951C8">
      <w:pPr>
        <w:widowControl/>
        <w:spacing w:line="560" w:lineRule="exact"/>
        <w:ind w:firstLine="140" w:firstLineChars="50"/>
        <w:jc w:val="left"/>
        <w:rPr>
          <w:rFonts w:ascii="仿宋" w:hAnsi="仿宋" w:eastAsia="仿宋"/>
          <w:sz w:val="28"/>
          <w:szCs w:val="28"/>
          <w:highlight w:val="none"/>
        </w:rPr>
      </w:pPr>
      <w:r>
        <w:rPr>
          <w:rFonts w:hint="eastAsia" w:ascii="仿宋" w:hAnsi="仿宋" w:eastAsia="仿宋"/>
          <w:sz w:val="28"/>
          <w:szCs w:val="28"/>
          <w:highlight w:val="none"/>
        </w:rPr>
        <w:t xml:space="preserve">   2.项目地点：需方指定地点</w:t>
      </w:r>
    </w:p>
    <w:p w14:paraId="42808899">
      <w:pPr>
        <w:pStyle w:val="24"/>
        <w:rPr>
          <w:rFonts w:ascii="仿宋" w:hAnsi="仿宋" w:eastAsia="仿宋"/>
          <w:sz w:val="28"/>
          <w:szCs w:val="28"/>
          <w:highlight w:val="none"/>
        </w:rPr>
      </w:pPr>
      <w:bookmarkStart w:id="2" w:name="_Toc161911529"/>
      <w:r>
        <w:rPr>
          <w:rFonts w:hint="eastAsia" w:ascii="仿宋" w:hAnsi="仿宋" w:eastAsia="仿宋"/>
          <w:sz w:val="28"/>
          <w:szCs w:val="28"/>
          <w:highlight w:val="none"/>
        </w:rPr>
        <w:t xml:space="preserve">    3.采购内容：</w:t>
      </w:r>
      <w:bookmarkEnd w:id="2"/>
      <w:r>
        <w:rPr>
          <w:rFonts w:ascii="仿宋" w:hAnsi="仿宋" w:eastAsia="仿宋"/>
          <w:sz w:val="28"/>
          <w:szCs w:val="28"/>
          <w:highlight w:val="none"/>
        </w:rPr>
        <w:t>双枪直流充电终端（集控版）250A/60-120KW</w:t>
      </w:r>
      <w:r>
        <w:rPr>
          <w:rFonts w:hint="eastAsia" w:ascii="仿宋" w:hAnsi="仿宋" w:eastAsia="仿宋"/>
          <w:sz w:val="28"/>
          <w:szCs w:val="28"/>
          <w:highlight w:val="none"/>
        </w:rPr>
        <w:t>,</w:t>
      </w:r>
      <w:r>
        <w:rPr>
          <w:rFonts w:ascii="仿宋" w:hAnsi="仿宋" w:eastAsia="仿宋"/>
          <w:sz w:val="28"/>
          <w:szCs w:val="28"/>
          <w:highlight w:val="none"/>
        </w:rPr>
        <w:t>6台</w:t>
      </w:r>
      <w:r>
        <w:rPr>
          <w:rFonts w:hint="eastAsia" w:ascii="仿宋" w:hAnsi="仿宋" w:eastAsia="仿宋"/>
          <w:sz w:val="28"/>
          <w:szCs w:val="28"/>
          <w:highlight w:val="none"/>
        </w:rPr>
        <w:t>；</w:t>
      </w:r>
    </w:p>
    <w:p w14:paraId="70911B00">
      <w:pPr>
        <w:pStyle w:val="24"/>
        <w:rPr>
          <w:rFonts w:ascii="仿宋" w:hAnsi="仿宋" w:eastAsia="仿宋"/>
          <w:sz w:val="28"/>
          <w:szCs w:val="28"/>
          <w:highlight w:val="none"/>
        </w:rPr>
      </w:pPr>
      <w:r>
        <w:rPr>
          <w:rFonts w:ascii="仿宋" w:hAnsi="仿宋" w:eastAsia="仿宋"/>
          <w:sz w:val="28"/>
          <w:szCs w:val="28"/>
          <w:highlight w:val="none"/>
        </w:rPr>
        <w:t>400KW整流柜HSGK-CZ-2F4A2-750V/200KW/HSGK-CZ-2F8AI-750V/200KW</w:t>
      </w:r>
      <w:r>
        <w:rPr>
          <w:rFonts w:hint="eastAsia" w:ascii="仿宋" w:hAnsi="仿宋" w:eastAsia="仿宋"/>
          <w:sz w:val="28"/>
          <w:szCs w:val="28"/>
          <w:highlight w:val="none"/>
        </w:rPr>
        <w:t>,</w:t>
      </w:r>
      <w:r>
        <w:rPr>
          <w:rFonts w:ascii="仿宋" w:hAnsi="仿宋" w:eastAsia="仿宋"/>
          <w:sz w:val="28"/>
          <w:szCs w:val="28"/>
          <w:highlight w:val="none"/>
        </w:rPr>
        <w:t>2台</w:t>
      </w:r>
    </w:p>
    <w:p w14:paraId="6BB2AE3F">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4.采购控制价（含税价，增值税税率为13%）：392000.02元。详见</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采购需求》</w:t>
      </w:r>
      <w:bookmarkStart w:id="25" w:name="_GoBack"/>
      <w:bookmarkEnd w:id="25"/>
      <w:r>
        <w:rPr>
          <w:rFonts w:hint="eastAsia" w:ascii="仿宋" w:hAnsi="仿宋" w:eastAsia="仿宋"/>
          <w:sz w:val="28"/>
          <w:szCs w:val="28"/>
          <w:highlight w:val="none"/>
        </w:rPr>
        <w:t>附录采购清单控制价</w:t>
      </w:r>
    </w:p>
    <w:p w14:paraId="0DC44E76">
      <w:pPr>
        <w:pStyle w:val="16"/>
        <w:spacing w:line="560" w:lineRule="exact"/>
        <w:rPr>
          <w:rFonts w:ascii="仿宋" w:hAnsi="仿宋" w:eastAsia="仿宋"/>
          <w:sz w:val="28"/>
          <w:szCs w:val="28"/>
          <w:highlight w:val="none"/>
        </w:rPr>
      </w:pPr>
      <w:bookmarkStart w:id="3" w:name="_Toc134452748"/>
      <w:r>
        <w:rPr>
          <w:rFonts w:hint="eastAsia" w:ascii="仿宋" w:hAnsi="仿宋" w:eastAsia="仿宋"/>
          <w:sz w:val="28"/>
          <w:szCs w:val="28"/>
          <w:highlight w:val="none"/>
        </w:rPr>
        <w:t xml:space="preserve">    5.供应商资格要求</w:t>
      </w:r>
    </w:p>
    <w:p w14:paraId="76543681">
      <w:pPr>
        <w:pStyle w:val="16"/>
        <w:spacing w:line="560" w:lineRule="exact"/>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5.1供应商必须具有独立法人资格,各供应商不得有企业关联或股权关系。</w:t>
      </w:r>
    </w:p>
    <w:p w14:paraId="6AAFF38C">
      <w:pPr>
        <w:pStyle w:val="16"/>
        <w:spacing w:line="560" w:lineRule="exact"/>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5.2供应商必须具备相关营业资格,所生产的产品必须符合国家、行业标准相关要求，相关主材必须具备国家认可的型式试验报告，并在人员、设备、技术、资金等方面具备相应的能力。</w:t>
      </w:r>
    </w:p>
    <w:p w14:paraId="185002AD">
      <w:pPr>
        <w:pStyle w:val="16"/>
        <w:spacing w:line="560" w:lineRule="exact"/>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5.3采购公告发布之日前三年内无行贿犯罪等重大违法记录。</w:t>
      </w:r>
    </w:p>
    <w:p w14:paraId="7EE9C1C2">
      <w:pPr>
        <w:pStyle w:val="16"/>
        <w:spacing w:line="560" w:lineRule="exact"/>
        <w:rPr>
          <w:rFonts w:ascii="仿宋" w:hAnsi="仿宋" w:eastAsia="仿宋" w:cs="宋体"/>
          <w:bCs/>
          <w:sz w:val="28"/>
          <w:szCs w:val="28"/>
          <w:highlight w:val="none"/>
        </w:rPr>
      </w:pPr>
      <w:bookmarkStart w:id="4" w:name="_Toc521332562"/>
      <w:r>
        <w:rPr>
          <w:rFonts w:hint="eastAsia" w:ascii="仿宋" w:hAnsi="仿宋" w:eastAsia="仿宋" w:cs="宋体"/>
          <w:bCs/>
          <w:sz w:val="28"/>
          <w:szCs w:val="28"/>
          <w:highlight w:val="none"/>
        </w:rPr>
        <w:t xml:space="preserve">    5.4通过“信用中国”网站（www.creditchina.gov.cn）、中国政府采购网（www.ccgp.gov.cn）查询，未被列入失信被执行人、重大税收违法案件当事人、政府采购严重违法失信行为记录名单。</w:t>
      </w:r>
    </w:p>
    <w:bookmarkEnd w:id="4"/>
    <w:p w14:paraId="76A48609">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6.资格预审及采购文件的获取</w:t>
      </w:r>
    </w:p>
    <w:p w14:paraId="7CCEB338">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rPr>
        <w:t>6.1截止时间：2024年8月7日12时00分。</w:t>
      </w:r>
    </w:p>
    <w:p w14:paraId="541DDE1D">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6.2预审方式：供应商将资格审查所需材料附在一个文档里，在截止时间前发送至邮箱：gaoxinshuidian@163.com。邮件标题为供应商名称+项目名称，正文备注联系人、联系方式、采购文件接收邮箱地址。</w:t>
      </w:r>
      <w:r>
        <w:rPr>
          <w:rStyle w:val="38"/>
          <w:rFonts w:hint="eastAsia" w:ascii="仿宋" w:hAnsi="仿宋" w:eastAsia="仿宋" w:cs="仿宋"/>
          <w:szCs w:val="28"/>
          <w:highlight w:val="none"/>
        </w:rPr>
        <w:t>由采购人受理后，通过邮箱向审查合格的供应商发放采购文件。</w:t>
      </w:r>
    </w:p>
    <w:p w14:paraId="11B4094C">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6.3资格审查材料：营业执照复印件；法定代表人身份证明；法定代表人授权委托书；中国裁判文书网（http://wenshu.court.gov.cn)分别查询供应商、法定代表人无行贿犯罪记录查询网页截图；“信用中国”网站、中国政府采购网查询网页截图等材料，以上材料均需加盖供应商公章。</w:t>
      </w:r>
    </w:p>
    <w:p w14:paraId="4FE64545">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7.响应文件递交时间以及地点</w:t>
      </w:r>
    </w:p>
    <w:p w14:paraId="37FEE56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rPr>
        <w:t>7.1时间：2024年8 月13日9时00分至9时30 分。</w:t>
      </w:r>
    </w:p>
    <w:p w14:paraId="45543B3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7.2地点：青岛市高新区河东路以北、岙东路以东高新电力4楼会议室。</w:t>
      </w:r>
    </w:p>
    <w:p w14:paraId="75B428E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8.磋商时间以及地点</w:t>
      </w:r>
    </w:p>
    <w:p w14:paraId="618CEA8D">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rPr>
        <w:t>8.1时间：2024年8月13日9时30 分。</w:t>
      </w:r>
    </w:p>
    <w:p w14:paraId="7F6ECBD7">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8.2地点：青岛市高新区河东路以北、岙东路以东高新电力4楼会议室。</w:t>
      </w:r>
    </w:p>
    <w:p w14:paraId="6F37645D">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9.联系方式</w:t>
      </w:r>
    </w:p>
    <w:p w14:paraId="35B4EF5D">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9.1采购人：青岛高新电力发展有限公司</w:t>
      </w:r>
    </w:p>
    <w:p w14:paraId="237D6CE9">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联 系 人：纪虹延</w:t>
      </w:r>
    </w:p>
    <w:p w14:paraId="7C00121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电    话：0532-68687097</w:t>
      </w:r>
    </w:p>
    <w:p w14:paraId="68822648">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地    址：青岛市高新区河东路以北、岙东路以东</w:t>
      </w:r>
    </w:p>
    <w:p w14:paraId="40A74C17">
      <w:pPr>
        <w:pStyle w:val="16"/>
        <w:spacing w:line="560" w:lineRule="exact"/>
        <w:rPr>
          <w:rFonts w:ascii="仿宋" w:hAnsi="仿宋" w:eastAsia="仿宋"/>
          <w:sz w:val="28"/>
          <w:szCs w:val="28"/>
          <w:highlight w:val="none"/>
        </w:rPr>
      </w:pPr>
    </w:p>
    <w:p w14:paraId="27D707ED">
      <w:pPr>
        <w:pStyle w:val="16"/>
        <w:spacing w:line="560" w:lineRule="exact"/>
        <w:rPr>
          <w:rFonts w:ascii="仿宋" w:hAnsi="仿宋" w:eastAsia="仿宋"/>
          <w:sz w:val="28"/>
          <w:szCs w:val="28"/>
          <w:highlight w:val="none"/>
        </w:rPr>
      </w:pPr>
    </w:p>
    <w:p w14:paraId="68A66DE8">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rPr>
        <w:t>2024年8月6日</w:t>
      </w:r>
    </w:p>
    <w:p w14:paraId="01CBECA8">
      <w:pPr>
        <w:widowControl/>
        <w:jc w:val="left"/>
        <w:rPr>
          <w:rFonts w:ascii="黑体" w:hAnsi="黑体" w:eastAsia="黑体" w:cs="Arial"/>
          <w:b/>
          <w:bCs/>
          <w:kern w:val="44"/>
          <w:sz w:val="32"/>
          <w:szCs w:val="32"/>
          <w:highlight w:val="none"/>
        </w:rPr>
      </w:pPr>
      <w:r>
        <w:rPr>
          <w:rFonts w:ascii="黑体" w:hAnsi="黑体" w:eastAsia="黑体"/>
          <w:sz w:val="32"/>
          <w:szCs w:val="32"/>
          <w:highlight w:val="none"/>
        </w:rPr>
        <w:br w:type="page"/>
      </w:r>
    </w:p>
    <w:bookmarkEnd w:id="3"/>
    <w:p w14:paraId="5566928B">
      <w:pPr>
        <w:spacing w:line="520" w:lineRule="exact"/>
        <w:jc w:val="center"/>
        <w:outlineLvl w:val="0"/>
        <w:rPr>
          <w:rFonts w:ascii="黑体" w:hAnsi="黑体" w:eastAsia="黑体" w:cs="黑体"/>
          <w:bCs/>
          <w:sz w:val="32"/>
          <w:szCs w:val="32"/>
          <w:highlight w:val="none"/>
        </w:rPr>
      </w:pPr>
      <w:bookmarkStart w:id="5" w:name="_Toc173506135"/>
      <w:bookmarkStart w:id="6" w:name="_Toc134452749"/>
      <w:r>
        <w:rPr>
          <w:rFonts w:hint="eastAsia" w:ascii="黑体" w:hAnsi="黑体" w:eastAsia="黑体" w:cs="黑体"/>
          <w:bCs/>
          <w:sz w:val="32"/>
          <w:szCs w:val="32"/>
          <w:highlight w:val="none"/>
        </w:rPr>
        <w:t>采购需求</w:t>
      </w:r>
      <w:bookmarkEnd w:id="5"/>
      <w:bookmarkEnd w:id="6"/>
      <w:bookmarkStart w:id="7" w:name="_Toc134452750"/>
    </w:p>
    <w:p w14:paraId="170B08D7">
      <w:pPr>
        <w:spacing w:line="520" w:lineRule="exact"/>
        <w:ind w:firstLine="560" w:firstLineChars="200"/>
        <w:outlineLvl w:val="0"/>
        <w:rPr>
          <w:rFonts w:asciiTheme="minorEastAsia" w:hAnsiTheme="minorEastAsia" w:eastAsiaTheme="minorEastAsia"/>
          <w:sz w:val="28"/>
          <w:szCs w:val="28"/>
          <w:highlight w:val="none"/>
        </w:rPr>
      </w:pPr>
    </w:p>
    <w:bookmarkEnd w:id="7"/>
    <w:p w14:paraId="3EDED213">
      <w:pPr>
        <w:pStyle w:val="4"/>
        <w:jc w:val="left"/>
        <w:rPr>
          <w:rFonts w:asciiTheme="minorEastAsia" w:hAnsiTheme="minorEastAsia" w:eastAsiaTheme="minorEastAsia"/>
          <w:highlight w:val="none"/>
        </w:rPr>
      </w:pPr>
      <w:bookmarkStart w:id="8" w:name="_Toc173506136"/>
      <w:r>
        <w:rPr>
          <w:rFonts w:hint="eastAsia" w:asciiTheme="minorEastAsia" w:hAnsiTheme="minorEastAsia" w:eastAsiaTheme="minorEastAsia"/>
          <w:sz w:val="28"/>
          <w:szCs w:val="28"/>
          <w:highlight w:val="none"/>
        </w:rPr>
        <w:t>1.采购产品规格型号及采购数量</w:t>
      </w:r>
      <w:bookmarkStart w:id="9" w:name="_Toc134452751"/>
      <w:r>
        <w:rPr>
          <w:rFonts w:hint="eastAsia" w:asciiTheme="minorEastAsia" w:hAnsiTheme="minorEastAsia" w:eastAsiaTheme="minorEastAsia"/>
          <w:sz w:val="28"/>
          <w:szCs w:val="28"/>
          <w:highlight w:val="none"/>
        </w:rPr>
        <w:t>：</w:t>
      </w:r>
      <w:r>
        <w:rPr>
          <w:rStyle w:val="44"/>
          <w:rFonts w:hint="eastAsia" w:ascii="仿宋" w:hAnsi="仿宋" w:eastAsia="仿宋"/>
          <w:b w:val="0"/>
          <w:sz w:val="28"/>
          <w:szCs w:val="28"/>
          <w:highlight w:val="none"/>
        </w:rPr>
        <w:t>详见清单</w:t>
      </w:r>
      <w:bookmarkEnd w:id="8"/>
    </w:p>
    <w:p w14:paraId="406CB49B">
      <w:pPr>
        <w:pStyle w:val="4"/>
        <w:jc w:val="left"/>
        <w:rPr>
          <w:rFonts w:asciiTheme="minorEastAsia" w:hAnsiTheme="minorEastAsia" w:eastAsiaTheme="minorEastAsia"/>
          <w:sz w:val="28"/>
          <w:szCs w:val="28"/>
          <w:highlight w:val="none"/>
        </w:rPr>
      </w:pPr>
      <w:bookmarkStart w:id="10" w:name="_Toc173506137"/>
      <w:r>
        <w:rPr>
          <w:rFonts w:hint="eastAsia" w:asciiTheme="minorEastAsia" w:hAnsiTheme="minorEastAsia" w:eastAsiaTheme="minorEastAsia"/>
          <w:sz w:val="28"/>
          <w:szCs w:val="28"/>
          <w:highlight w:val="none"/>
        </w:rPr>
        <w:t>2.技术要求</w:t>
      </w:r>
      <w:bookmarkEnd w:id="9"/>
      <w:bookmarkEnd w:id="10"/>
    </w:p>
    <w:p w14:paraId="62172AFE">
      <w:pPr>
        <w:spacing w:line="560" w:lineRule="exact"/>
        <w:ind w:firstLine="560" w:firstLineChars="200"/>
        <w:rPr>
          <w:rFonts w:ascii="仿宋" w:hAnsi="仿宋" w:eastAsia="仿宋"/>
          <w:sz w:val="28"/>
          <w:szCs w:val="28"/>
          <w:highlight w:val="none"/>
        </w:rPr>
      </w:pPr>
      <w:bookmarkStart w:id="11" w:name="_Toc138080267"/>
      <w:bookmarkStart w:id="12" w:name="_Toc134452755"/>
      <w:bookmarkStart w:id="13" w:name="_Toc134452756"/>
      <w:r>
        <w:rPr>
          <w:rFonts w:hint="eastAsia" w:ascii="仿宋" w:hAnsi="仿宋" w:eastAsia="仿宋"/>
          <w:sz w:val="28"/>
          <w:szCs w:val="28"/>
          <w:highlight w:val="none"/>
        </w:rPr>
        <w:t>★2.1.供方需保证其所提供的产品必须是合同所确定的正宗原装产品，其型号、规格必须符合招标产品所列的各项参数，质量必须达到国家标准及行业质量标准，严禁使用不合格材料，假一罚十；所附各种资料及配件（软件）等必须齐全。</w:t>
      </w:r>
    </w:p>
    <w:p w14:paraId="750B8EBB">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其中双枪直流充电终端，型号为</w:t>
      </w:r>
      <w:r>
        <w:rPr>
          <w:rFonts w:ascii="仿宋" w:hAnsi="仿宋" w:eastAsia="仿宋"/>
          <w:sz w:val="28"/>
          <w:szCs w:val="28"/>
          <w:highlight w:val="none"/>
        </w:rPr>
        <w:t>250A/60-120</w:t>
      </w:r>
      <w:r>
        <w:rPr>
          <w:rFonts w:hint="eastAsia" w:ascii="仿宋" w:hAnsi="仿宋" w:eastAsia="仿宋"/>
          <w:sz w:val="28"/>
          <w:szCs w:val="28"/>
          <w:highlight w:val="none"/>
        </w:rPr>
        <w:t>k</w:t>
      </w:r>
      <w:r>
        <w:rPr>
          <w:rFonts w:ascii="仿宋" w:hAnsi="仿宋" w:eastAsia="仿宋"/>
          <w:sz w:val="28"/>
          <w:szCs w:val="28"/>
          <w:highlight w:val="none"/>
        </w:rPr>
        <w:t>W，技术要求为</w:t>
      </w:r>
      <w:r>
        <w:rPr>
          <w:rFonts w:hint="eastAsia" w:ascii="仿宋" w:hAnsi="仿宋" w:eastAsia="仿宋"/>
          <w:sz w:val="28"/>
          <w:szCs w:val="28"/>
          <w:highlight w:val="none"/>
        </w:rPr>
        <w:t>：直流</w:t>
      </w:r>
      <w:r>
        <w:rPr>
          <w:rFonts w:ascii="仿宋" w:hAnsi="仿宋" w:eastAsia="仿宋"/>
          <w:sz w:val="28"/>
          <w:szCs w:val="28"/>
          <w:highlight w:val="none"/>
        </w:rPr>
        <w:t>输出电压</w:t>
      </w:r>
      <w:r>
        <w:rPr>
          <w:rFonts w:hint="eastAsia" w:ascii="仿宋" w:hAnsi="仿宋" w:eastAsia="仿宋"/>
          <w:sz w:val="28"/>
          <w:szCs w:val="28"/>
          <w:highlight w:val="none"/>
        </w:rPr>
        <w:t>范围</w:t>
      </w:r>
      <w:r>
        <w:rPr>
          <w:rFonts w:ascii="仿宋" w:hAnsi="仿宋" w:eastAsia="仿宋"/>
          <w:sz w:val="28"/>
          <w:szCs w:val="28"/>
          <w:highlight w:val="none"/>
        </w:rPr>
        <w:t>：</w:t>
      </w:r>
      <w:r>
        <w:rPr>
          <w:rFonts w:hint="eastAsia" w:ascii="仿宋" w:hAnsi="仿宋" w:eastAsia="仿宋"/>
          <w:sz w:val="28"/>
          <w:szCs w:val="28"/>
          <w:highlight w:val="none"/>
        </w:rPr>
        <w:t>DC200V～</w:t>
      </w:r>
      <w:r>
        <w:rPr>
          <w:rFonts w:ascii="仿宋" w:hAnsi="仿宋" w:eastAsia="仿宋"/>
          <w:sz w:val="28"/>
          <w:szCs w:val="28"/>
          <w:highlight w:val="none"/>
        </w:rPr>
        <w:t>100</w:t>
      </w:r>
      <w:r>
        <w:rPr>
          <w:rFonts w:hint="eastAsia" w:ascii="仿宋" w:hAnsi="仿宋" w:eastAsia="仿宋"/>
          <w:sz w:val="28"/>
          <w:szCs w:val="28"/>
          <w:highlight w:val="none"/>
        </w:rPr>
        <w:t>0V；单枪最大输出电流：2</w:t>
      </w:r>
      <w:r>
        <w:rPr>
          <w:rFonts w:ascii="仿宋" w:hAnsi="仿宋" w:eastAsia="仿宋"/>
          <w:sz w:val="28"/>
          <w:szCs w:val="28"/>
          <w:highlight w:val="none"/>
        </w:rPr>
        <w:t>20A</w:t>
      </w:r>
      <w:r>
        <w:rPr>
          <w:rFonts w:hint="eastAsia" w:ascii="仿宋" w:hAnsi="仿宋" w:eastAsia="仿宋"/>
          <w:sz w:val="28"/>
          <w:szCs w:val="28"/>
          <w:highlight w:val="none"/>
        </w:rPr>
        <w:t>；防护等级≥I</w:t>
      </w:r>
      <w:r>
        <w:rPr>
          <w:rFonts w:ascii="仿宋" w:hAnsi="仿宋" w:eastAsia="仿宋"/>
          <w:sz w:val="28"/>
          <w:szCs w:val="28"/>
          <w:highlight w:val="none"/>
        </w:rPr>
        <w:t>P54</w:t>
      </w:r>
      <w:r>
        <w:rPr>
          <w:rFonts w:hint="eastAsia" w:ascii="仿宋" w:hAnsi="仿宋" w:eastAsia="仿宋"/>
          <w:sz w:val="28"/>
          <w:szCs w:val="28"/>
          <w:highlight w:val="none"/>
        </w:rPr>
        <w:t>；输入接口：连接分体式直流充电柜；充电接口：兼容</w:t>
      </w:r>
      <w:r>
        <w:rPr>
          <w:rFonts w:ascii="仿宋" w:hAnsi="仿宋" w:eastAsia="仿宋"/>
          <w:sz w:val="28"/>
          <w:szCs w:val="28"/>
          <w:highlight w:val="none"/>
        </w:rPr>
        <w:t>GB/T 20234.3-2023</w:t>
      </w:r>
      <w:r>
        <w:rPr>
          <w:rFonts w:hint="eastAsia" w:ascii="仿宋" w:hAnsi="仿宋" w:eastAsia="仿宋"/>
          <w:sz w:val="28"/>
          <w:szCs w:val="28"/>
          <w:highlight w:val="none"/>
        </w:rPr>
        <w:t>电缆和插头；枪线长度≥5米。</w:t>
      </w:r>
    </w:p>
    <w:p w14:paraId="3B9B2BFE">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400kW充电柜，型号为</w:t>
      </w:r>
      <w:r>
        <w:rPr>
          <w:rFonts w:ascii="仿宋" w:hAnsi="仿宋" w:eastAsia="仿宋"/>
          <w:sz w:val="28"/>
          <w:szCs w:val="28"/>
          <w:highlight w:val="none"/>
        </w:rPr>
        <w:t>HSCZ-FA6-1000V/400kW，技术要求为：交流输入电压：380V±15％；交流电源频率：50Hz±1Hz</w:t>
      </w:r>
      <w:r>
        <w:rPr>
          <w:rFonts w:hint="eastAsia" w:ascii="仿宋" w:hAnsi="仿宋" w:eastAsia="仿宋"/>
          <w:sz w:val="28"/>
          <w:szCs w:val="28"/>
          <w:highlight w:val="none"/>
        </w:rPr>
        <w:t>；直流</w:t>
      </w:r>
      <w:r>
        <w:rPr>
          <w:rFonts w:ascii="仿宋" w:hAnsi="仿宋" w:eastAsia="仿宋"/>
          <w:sz w:val="28"/>
          <w:szCs w:val="28"/>
          <w:highlight w:val="none"/>
        </w:rPr>
        <w:t>输出电压</w:t>
      </w:r>
      <w:r>
        <w:rPr>
          <w:rFonts w:hint="eastAsia" w:ascii="仿宋" w:hAnsi="仿宋" w:eastAsia="仿宋"/>
          <w:sz w:val="28"/>
          <w:szCs w:val="28"/>
          <w:highlight w:val="none"/>
        </w:rPr>
        <w:t>范围</w:t>
      </w:r>
      <w:r>
        <w:rPr>
          <w:rFonts w:ascii="仿宋" w:hAnsi="仿宋" w:eastAsia="仿宋"/>
          <w:sz w:val="28"/>
          <w:szCs w:val="28"/>
          <w:highlight w:val="none"/>
        </w:rPr>
        <w:t>：</w:t>
      </w:r>
      <w:r>
        <w:rPr>
          <w:rFonts w:hint="eastAsia" w:ascii="仿宋" w:hAnsi="仿宋" w:eastAsia="仿宋"/>
          <w:sz w:val="28"/>
          <w:szCs w:val="28"/>
          <w:highlight w:val="none"/>
        </w:rPr>
        <w:t>DC200V～</w:t>
      </w:r>
      <w:r>
        <w:rPr>
          <w:rFonts w:ascii="仿宋" w:hAnsi="仿宋" w:eastAsia="仿宋"/>
          <w:sz w:val="28"/>
          <w:szCs w:val="28"/>
          <w:highlight w:val="none"/>
        </w:rPr>
        <w:t>100</w:t>
      </w:r>
      <w:r>
        <w:rPr>
          <w:rFonts w:hint="eastAsia" w:ascii="仿宋" w:hAnsi="仿宋" w:eastAsia="仿宋"/>
          <w:sz w:val="28"/>
          <w:szCs w:val="28"/>
          <w:highlight w:val="none"/>
        </w:rPr>
        <w:t>0V；恒功率区间：低压模式D</w:t>
      </w:r>
      <w:r>
        <w:rPr>
          <w:rFonts w:ascii="仿宋" w:hAnsi="仿宋" w:eastAsia="仿宋"/>
          <w:sz w:val="28"/>
          <w:szCs w:val="28"/>
          <w:highlight w:val="none"/>
        </w:rPr>
        <w:t>C</w:t>
      </w:r>
      <w:r>
        <w:rPr>
          <w:rFonts w:hint="eastAsia" w:ascii="仿宋" w:hAnsi="仿宋" w:eastAsia="仿宋"/>
          <w:sz w:val="28"/>
          <w:szCs w:val="28"/>
          <w:highlight w:val="none"/>
        </w:rPr>
        <w:t>300 V～500 V，高压模式D</w:t>
      </w:r>
      <w:r>
        <w:rPr>
          <w:rFonts w:ascii="仿宋" w:hAnsi="仿宋" w:eastAsia="仿宋"/>
          <w:sz w:val="28"/>
          <w:szCs w:val="28"/>
          <w:highlight w:val="none"/>
        </w:rPr>
        <w:t>C</w:t>
      </w:r>
      <w:r>
        <w:rPr>
          <w:rFonts w:hint="eastAsia" w:ascii="仿宋" w:hAnsi="仿宋" w:eastAsia="仿宋"/>
          <w:sz w:val="28"/>
          <w:szCs w:val="28"/>
          <w:highlight w:val="none"/>
        </w:rPr>
        <w:t>600 V～1000 V；防护等级≥I</w:t>
      </w:r>
      <w:r>
        <w:rPr>
          <w:rFonts w:ascii="仿宋" w:hAnsi="仿宋" w:eastAsia="仿宋"/>
          <w:sz w:val="28"/>
          <w:szCs w:val="28"/>
          <w:highlight w:val="none"/>
        </w:rPr>
        <w:t>P54</w:t>
      </w:r>
      <w:r>
        <w:rPr>
          <w:rFonts w:hint="eastAsia" w:ascii="仿宋" w:hAnsi="仿宋" w:eastAsia="仿宋"/>
          <w:sz w:val="28"/>
          <w:szCs w:val="28"/>
          <w:highlight w:val="none"/>
        </w:rPr>
        <w:t>；配置方案：配置可接入双枪直流充电终端；保护功能：</w:t>
      </w:r>
      <w:r>
        <w:rPr>
          <w:rFonts w:ascii="仿宋" w:hAnsi="仿宋" w:eastAsia="仿宋"/>
          <w:sz w:val="28"/>
          <w:szCs w:val="28"/>
          <w:highlight w:val="none"/>
        </w:rPr>
        <w:t>具有过载保护</w:t>
      </w:r>
      <w:r>
        <w:rPr>
          <w:rFonts w:hint="eastAsia" w:ascii="仿宋" w:hAnsi="仿宋" w:eastAsia="仿宋"/>
          <w:sz w:val="28"/>
          <w:szCs w:val="28"/>
          <w:highlight w:val="none"/>
        </w:rPr>
        <w:t>、</w:t>
      </w:r>
      <w:r>
        <w:rPr>
          <w:rFonts w:ascii="仿宋" w:hAnsi="仿宋" w:eastAsia="仿宋"/>
          <w:sz w:val="28"/>
          <w:szCs w:val="28"/>
          <w:highlight w:val="none"/>
        </w:rPr>
        <w:t>过压保护</w:t>
      </w:r>
      <w:r>
        <w:rPr>
          <w:rFonts w:hint="eastAsia" w:ascii="仿宋" w:hAnsi="仿宋" w:eastAsia="仿宋"/>
          <w:sz w:val="28"/>
          <w:szCs w:val="28"/>
          <w:highlight w:val="none"/>
        </w:rPr>
        <w:t>、欠压</w:t>
      </w:r>
      <w:r>
        <w:rPr>
          <w:rFonts w:ascii="仿宋" w:hAnsi="仿宋" w:eastAsia="仿宋"/>
          <w:sz w:val="28"/>
          <w:szCs w:val="28"/>
          <w:highlight w:val="none"/>
        </w:rPr>
        <w:t>保护</w:t>
      </w:r>
      <w:r>
        <w:rPr>
          <w:rFonts w:hint="eastAsia" w:ascii="仿宋" w:hAnsi="仿宋" w:eastAsia="仿宋"/>
          <w:sz w:val="28"/>
          <w:szCs w:val="28"/>
          <w:highlight w:val="none"/>
        </w:rPr>
        <w:t>、</w:t>
      </w:r>
      <w:r>
        <w:rPr>
          <w:rFonts w:ascii="仿宋" w:hAnsi="仿宋" w:eastAsia="仿宋"/>
          <w:sz w:val="28"/>
          <w:szCs w:val="28"/>
          <w:highlight w:val="none"/>
        </w:rPr>
        <w:t>过流保护</w:t>
      </w:r>
      <w:r>
        <w:rPr>
          <w:rFonts w:hint="eastAsia" w:ascii="仿宋" w:hAnsi="仿宋" w:eastAsia="仿宋"/>
          <w:sz w:val="28"/>
          <w:szCs w:val="28"/>
          <w:highlight w:val="none"/>
        </w:rPr>
        <w:t>、短路</w:t>
      </w:r>
      <w:r>
        <w:rPr>
          <w:rFonts w:ascii="仿宋" w:hAnsi="仿宋" w:eastAsia="仿宋"/>
          <w:sz w:val="28"/>
          <w:szCs w:val="28"/>
          <w:highlight w:val="none"/>
        </w:rPr>
        <w:t>保护</w:t>
      </w:r>
      <w:r>
        <w:rPr>
          <w:rFonts w:hint="eastAsia" w:ascii="仿宋" w:hAnsi="仿宋" w:eastAsia="仿宋"/>
          <w:sz w:val="28"/>
          <w:szCs w:val="28"/>
          <w:highlight w:val="none"/>
        </w:rPr>
        <w:t>、急停保护、防雷保护、漏电保护、</w:t>
      </w:r>
      <w:r>
        <w:rPr>
          <w:rFonts w:ascii="仿宋" w:hAnsi="仿宋" w:eastAsia="仿宋"/>
          <w:sz w:val="28"/>
          <w:szCs w:val="28"/>
          <w:highlight w:val="none"/>
        </w:rPr>
        <w:t>过温保护等</w:t>
      </w:r>
      <w:r>
        <w:rPr>
          <w:rFonts w:hint="eastAsia" w:ascii="仿宋" w:hAnsi="仿宋" w:eastAsia="仿宋"/>
          <w:sz w:val="28"/>
          <w:szCs w:val="28"/>
          <w:highlight w:val="none"/>
        </w:rPr>
        <w:t>。</w:t>
      </w:r>
    </w:p>
    <w:p w14:paraId="5274C775">
      <w:pPr>
        <w:widowControl/>
        <w:ind w:firstLine="560" w:firstLineChars="200"/>
        <w:rPr>
          <w:rFonts w:ascii="仿宋" w:hAnsi="仿宋" w:eastAsia="仿宋"/>
          <w:sz w:val="28"/>
          <w:szCs w:val="28"/>
          <w:highlight w:val="none"/>
        </w:rPr>
      </w:pPr>
      <w:r>
        <w:rPr>
          <w:rFonts w:hint="eastAsia" w:ascii="仿宋" w:hAnsi="仿宋" w:eastAsia="仿宋"/>
          <w:sz w:val="28"/>
          <w:szCs w:val="28"/>
          <w:highlight w:val="none"/>
        </w:rPr>
        <w:t>投标人的充电设备应支持通过S</w:t>
      </w:r>
      <w:r>
        <w:rPr>
          <w:rFonts w:ascii="仿宋" w:hAnsi="仿宋" w:eastAsia="仿宋"/>
          <w:sz w:val="28"/>
          <w:szCs w:val="28"/>
          <w:highlight w:val="none"/>
        </w:rPr>
        <w:t>DK</w:t>
      </w:r>
      <w:r>
        <w:rPr>
          <w:rFonts w:hint="eastAsia" w:ascii="仿宋" w:hAnsi="仿宋" w:eastAsia="仿宋"/>
          <w:sz w:val="28"/>
          <w:szCs w:val="28"/>
          <w:highlight w:val="none"/>
        </w:rPr>
        <w:t>方式接入国网智慧车联网平台（e充电APP）的功能。相关接入协议应符合国网公司相关标准、平台接入规范的要求，</w:t>
      </w:r>
      <w:r>
        <w:rPr>
          <w:rFonts w:ascii="仿宋" w:hAnsi="仿宋" w:eastAsia="仿宋"/>
          <w:sz w:val="28"/>
          <w:szCs w:val="28"/>
          <w:highlight w:val="none"/>
        </w:rPr>
        <w:t>平台接入至少提供两年免费接入服务，两年期内平台使用不得收费，免费服务期后招标人需与平台服务公司拟定合作模式，其中代运营模式下，平台管理费不得高于充电服务费的8%；撮合模式下，平台管理费不得高于充电总费用（电费+服务费）的2%。在后续的国网</w:t>
      </w:r>
      <w:r>
        <w:rPr>
          <w:rFonts w:hint="eastAsia" w:ascii="仿宋" w:hAnsi="仿宋" w:eastAsia="仿宋"/>
          <w:sz w:val="28"/>
          <w:szCs w:val="28"/>
          <w:highlight w:val="none"/>
        </w:rPr>
        <w:t>智慧车联网平台接入中确保相关服务的长期性及延续性，不得在招标人设备接入该平台时以任何理由拒绝接入或设置障碍，招标完成后签订产品购销合同时，同步与投标人提供的相应国网电动汽车服务公司签订平台使用服务协议，后续使用其e充电APP进行充电服务。</w:t>
      </w:r>
    </w:p>
    <w:p w14:paraId="1D15C23A">
      <w:pPr>
        <w:widowControl/>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2.2.产品的验收按照国家标准、行业标准进行。</w:t>
      </w:r>
    </w:p>
    <w:p w14:paraId="531440C7">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★2.3.成交人需随货提供产品合格证、生产许可证，出厂试验报告等。</w:t>
      </w:r>
    </w:p>
    <w:p w14:paraId="764C80ED">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★2.4.供货期：签订合同后30日内交货。</w:t>
      </w:r>
    </w:p>
    <w:p w14:paraId="627B097A">
      <w:pPr>
        <w:spacing w:line="560" w:lineRule="exact"/>
        <w:ind w:firstLine="700" w:firstLineChars="250"/>
        <w:rPr>
          <w:rFonts w:ascii="仿宋" w:hAnsi="仿宋" w:eastAsia="仿宋"/>
          <w:sz w:val="28"/>
          <w:szCs w:val="28"/>
          <w:highlight w:val="none"/>
        </w:rPr>
      </w:pPr>
      <w:r>
        <w:rPr>
          <w:rFonts w:hint="eastAsia" w:ascii="仿宋" w:hAnsi="仿宋" w:eastAsia="仿宋"/>
          <w:sz w:val="28"/>
          <w:szCs w:val="28"/>
          <w:highlight w:val="none"/>
        </w:rPr>
        <w:t>2.5.服务地点：采购人指定地点。</w:t>
      </w:r>
    </w:p>
    <w:p w14:paraId="633BE785">
      <w:pPr>
        <w:pStyle w:val="4"/>
        <w:jc w:val="left"/>
        <w:rPr>
          <w:rFonts w:asciiTheme="minorEastAsia" w:hAnsiTheme="minorEastAsia" w:eastAsiaTheme="minorEastAsia"/>
          <w:sz w:val="28"/>
          <w:szCs w:val="28"/>
          <w:highlight w:val="none"/>
        </w:rPr>
      </w:pPr>
      <w:bookmarkStart w:id="14" w:name="_Toc173506138"/>
      <w:r>
        <w:rPr>
          <w:rFonts w:hint="eastAsia" w:asciiTheme="minorEastAsia" w:hAnsiTheme="minorEastAsia" w:eastAsiaTheme="minorEastAsia"/>
          <w:sz w:val="28"/>
          <w:szCs w:val="28"/>
          <w:highlight w:val="none"/>
        </w:rPr>
        <w:t>★3.付款方式</w:t>
      </w:r>
      <w:bookmarkEnd w:id="11"/>
      <w:bookmarkEnd w:id="14"/>
    </w:p>
    <w:bookmarkEnd w:id="12"/>
    <w:p w14:paraId="570626D9">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签订合同后，供方组织设备生产，产品到货验收合格后三个月后付至总货款的95％，供方需一次性开具全额增值税专用发票，13%税率，如遇税率调整，按照最新税率政策执行，剩余5％质保期满后一次性付清，最终付款时间无具体节点，结合甲方财务状况确定。</w:t>
      </w:r>
    </w:p>
    <w:p w14:paraId="3C9C638D">
      <w:pPr>
        <w:pStyle w:val="4"/>
        <w:jc w:val="left"/>
        <w:rPr>
          <w:rFonts w:asciiTheme="minorEastAsia" w:hAnsiTheme="minorEastAsia" w:eastAsiaTheme="minorEastAsia"/>
          <w:sz w:val="28"/>
          <w:szCs w:val="28"/>
          <w:highlight w:val="none"/>
        </w:rPr>
      </w:pPr>
      <w:bookmarkStart w:id="15" w:name="_Toc173506139"/>
      <w:r>
        <w:rPr>
          <w:rFonts w:hint="eastAsia" w:asciiTheme="minorEastAsia" w:hAnsiTheme="minorEastAsia" w:eastAsiaTheme="minorEastAsia"/>
          <w:sz w:val="28"/>
          <w:szCs w:val="28"/>
          <w:highlight w:val="none"/>
        </w:rPr>
        <w:t>4.验收</w:t>
      </w:r>
      <w:bookmarkEnd w:id="15"/>
    </w:p>
    <w:p w14:paraId="56767D12">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4.1货物运抵现场后，采购人将对货物数量、质量、规格等进行检验。如发现货物和规格或者两者都与采购文件、响应文件、合同不符，采购人有权限根据检验结果要求成交人立即更换或者提出索赔要求。</w:t>
      </w:r>
    </w:p>
    <w:p w14:paraId="2FB4F71B">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w:t>
      </w:r>
      <w:r>
        <w:rPr>
          <w:rFonts w:ascii="仿宋" w:hAnsi="仿宋" w:eastAsia="仿宋"/>
          <w:sz w:val="28"/>
          <w:szCs w:val="28"/>
          <w:highlight w:val="none"/>
        </w:rPr>
        <w:t>2</w:t>
      </w:r>
      <w:r>
        <w:rPr>
          <w:rFonts w:hint="eastAsia" w:ascii="仿宋" w:hAnsi="仿宋" w:eastAsia="仿宋"/>
          <w:sz w:val="28"/>
          <w:szCs w:val="28"/>
          <w:highlight w:val="none"/>
        </w:rPr>
        <w:t>产品到货后由采购人对货物进行详细而全面的检验，证明货物质量无任何问题，作为付款凭据之一。</w:t>
      </w:r>
    </w:p>
    <w:p w14:paraId="642074FA">
      <w:pPr>
        <w:pStyle w:val="4"/>
        <w:jc w:val="left"/>
        <w:rPr>
          <w:rFonts w:asciiTheme="minorEastAsia" w:hAnsiTheme="minorEastAsia" w:eastAsiaTheme="minorEastAsia"/>
          <w:sz w:val="28"/>
          <w:szCs w:val="28"/>
          <w:highlight w:val="none"/>
        </w:rPr>
      </w:pPr>
      <w:bookmarkStart w:id="16" w:name="_Toc173506140"/>
      <w:r>
        <w:rPr>
          <w:rFonts w:hint="eastAsia" w:asciiTheme="minorEastAsia" w:hAnsiTheme="minorEastAsia" w:eastAsiaTheme="minorEastAsia"/>
          <w:sz w:val="28"/>
          <w:szCs w:val="28"/>
          <w:highlight w:val="none"/>
        </w:rPr>
        <w:t>5.</w:t>
      </w:r>
      <w:bookmarkEnd w:id="13"/>
      <w:r>
        <w:rPr>
          <w:rFonts w:hint="eastAsia" w:asciiTheme="minorEastAsia" w:hAnsiTheme="minorEastAsia" w:eastAsiaTheme="minorEastAsia"/>
          <w:sz w:val="28"/>
          <w:szCs w:val="28"/>
          <w:highlight w:val="none"/>
        </w:rPr>
        <w:t>质量保证期</w:t>
      </w:r>
      <w:bookmarkEnd w:id="16"/>
    </w:p>
    <w:p w14:paraId="21D4A4CA">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质保期：质保期为三年，在质保期头三个月内，如产品运行有严重质量的问题或质量缺陷，供方应免费予以更换，以保证需方正常运行。</w:t>
      </w:r>
    </w:p>
    <w:p w14:paraId="0277E661">
      <w:pPr>
        <w:pStyle w:val="4"/>
        <w:jc w:val="left"/>
        <w:rPr>
          <w:rFonts w:asciiTheme="minorEastAsia" w:hAnsiTheme="minorEastAsia" w:eastAsiaTheme="minorEastAsia"/>
          <w:sz w:val="28"/>
          <w:szCs w:val="28"/>
          <w:highlight w:val="none"/>
        </w:rPr>
      </w:pPr>
      <w:bookmarkStart w:id="17" w:name="_Toc173506141"/>
      <w:r>
        <w:rPr>
          <w:rFonts w:hint="eastAsia" w:asciiTheme="minorEastAsia" w:hAnsiTheme="minorEastAsia" w:eastAsiaTheme="minorEastAsia"/>
          <w:sz w:val="28"/>
          <w:szCs w:val="28"/>
          <w:highlight w:val="none"/>
        </w:rPr>
        <w:t>6.售后服务</w:t>
      </w:r>
      <w:bookmarkEnd w:id="17"/>
    </w:p>
    <w:p w14:paraId="202ABC8E">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6.1.成交人应提供及时周到的售后服务，应保证每季度至少一次上门回访、检修。</w:t>
      </w:r>
    </w:p>
    <w:p w14:paraId="34505DEF">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6.2成交人在接采购人通知</w:t>
      </w:r>
      <w:r>
        <w:rPr>
          <w:rFonts w:ascii="仿宋" w:hAnsi="仿宋" w:eastAsia="仿宋"/>
          <w:sz w:val="28"/>
          <w:szCs w:val="28"/>
          <w:highlight w:val="none"/>
        </w:rPr>
        <w:t>2</w:t>
      </w:r>
      <w:r>
        <w:rPr>
          <w:rFonts w:hint="eastAsia" w:ascii="仿宋" w:hAnsi="仿宋" w:eastAsia="仿宋"/>
          <w:sz w:val="28"/>
          <w:szCs w:val="28"/>
          <w:highlight w:val="none"/>
        </w:rPr>
        <w:t>小时做出响应，</w:t>
      </w:r>
      <w:r>
        <w:rPr>
          <w:rFonts w:ascii="仿宋" w:hAnsi="仿宋" w:eastAsia="仿宋"/>
          <w:sz w:val="28"/>
          <w:szCs w:val="28"/>
          <w:highlight w:val="none"/>
        </w:rPr>
        <w:t>4</w:t>
      </w:r>
      <w:r>
        <w:rPr>
          <w:rFonts w:hint="eastAsia" w:ascii="仿宋" w:hAnsi="仿宋" w:eastAsia="仿宋"/>
          <w:sz w:val="28"/>
          <w:szCs w:val="28"/>
          <w:highlight w:val="none"/>
        </w:rPr>
        <w:t>小时内到达现场，24小时内维修完毕。</w:t>
      </w:r>
    </w:p>
    <w:p w14:paraId="6D3034D8">
      <w:pPr>
        <w:spacing w:line="560" w:lineRule="exact"/>
        <w:ind w:firstLine="555"/>
        <w:rPr>
          <w:rFonts w:ascii="仿宋" w:hAnsi="仿宋" w:eastAsia="仿宋"/>
          <w:sz w:val="28"/>
          <w:szCs w:val="28"/>
          <w:highlight w:val="none"/>
        </w:rPr>
      </w:pPr>
      <w:r>
        <w:rPr>
          <w:rFonts w:hint="eastAsia" w:ascii="仿宋" w:hAnsi="仿宋" w:eastAsia="仿宋"/>
          <w:sz w:val="28"/>
          <w:szCs w:val="28"/>
          <w:highlight w:val="none"/>
        </w:rPr>
        <w:t>带“★”条款为实质性条款，成交人必须按照采购文件的要求做出实质性响应。</w:t>
      </w:r>
    </w:p>
    <w:p w14:paraId="61E67216">
      <w:pPr>
        <w:spacing w:line="360" w:lineRule="auto"/>
        <w:rPr>
          <w:b/>
          <w:highlight w:val="none"/>
        </w:rPr>
      </w:pPr>
      <w:r>
        <w:rPr>
          <w:rFonts w:hint="eastAsia" w:ascii="仿宋" w:hAnsi="仿宋" w:eastAsia="仿宋"/>
          <w:b/>
          <w:bCs/>
          <w:sz w:val="28"/>
          <w:szCs w:val="28"/>
          <w:highlight w:val="none"/>
        </w:rPr>
        <w:t>附录</w:t>
      </w:r>
      <w:r>
        <w:rPr>
          <w:rFonts w:hint="eastAsia" w:ascii="仿宋" w:hAnsi="仿宋" w:eastAsia="仿宋"/>
          <w:sz w:val="28"/>
          <w:szCs w:val="28"/>
          <w:highlight w:val="none"/>
        </w:rPr>
        <w:t>：</w:t>
      </w:r>
      <w:r>
        <w:rPr>
          <w:rFonts w:hint="eastAsia" w:ascii="仿宋" w:hAnsi="仿宋" w:eastAsia="仿宋"/>
          <w:b/>
          <w:sz w:val="28"/>
          <w:szCs w:val="28"/>
          <w:highlight w:val="none"/>
        </w:rPr>
        <w:t>青岛网谷充电桩一期建设项目充电桩设备采购</w:t>
      </w:r>
      <w:r>
        <w:rPr>
          <w:rFonts w:hint="eastAsia" w:ascii="仿宋" w:hAnsi="仿宋" w:eastAsia="仿宋"/>
          <w:b/>
          <w:bCs/>
          <w:sz w:val="28"/>
          <w:szCs w:val="28"/>
          <w:highlight w:val="none"/>
        </w:rPr>
        <w:t>采购清单控制价（含税价，增值税税率为13%）</w:t>
      </w:r>
    </w:p>
    <w:tbl>
      <w:tblPr>
        <w:tblStyle w:val="28"/>
        <w:tblW w:w="8946" w:type="dxa"/>
        <w:tblInd w:w="93" w:type="dxa"/>
        <w:tblLayout w:type="fixed"/>
        <w:tblCellMar>
          <w:top w:w="0" w:type="dxa"/>
          <w:left w:w="108" w:type="dxa"/>
          <w:bottom w:w="0" w:type="dxa"/>
          <w:right w:w="108" w:type="dxa"/>
        </w:tblCellMar>
      </w:tblPr>
      <w:tblGrid>
        <w:gridCol w:w="1716"/>
        <w:gridCol w:w="1843"/>
        <w:gridCol w:w="709"/>
        <w:gridCol w:w="1276"/>
        <w:gridCol w:w="1701"/>
        <w:gridCol w:w="1701"/>
      </w:tblGrid>
      <w:tr w14:paraId="23A8EE45">
        <w:tblPrEx>
          <w:tblCellMar>
            <w:top w:w="0" w:type="dxa"/>
            <w:left w:w="108" w:type="dxa"/>
            <w:bottom w:w="0" w:type="dxa"/>
            <w:right w:w="108" w:type="dxa"/>
          </w:tblCellMar>
        </w:tblPrEx>
        <w:trPr>
          <w:trHeight w:val="555" w:hRule="atLeast"/>
        </w:trPr>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4BE5E">
            <w:pPr>
              <w:widowControl/>
              <w:jc w:val="center"/>
              <w:rPr>
                <w:rFonts w:ascii="仿宋" w:hAnsi="仿宋" w:eastAsia="仿宋"/>
                <w:b/>
                <w:sz w:val="24"/>
                <w:szCs w:val="24"/>
                <w:highlight w:val="none"/>
              </w:rPr>
            </w:pPr>
            <w:r>
              <w:rPr>
                <w:rFonts w:hint="eastAsia" w:ascii="仿宋" w:hAnsi="仿宋" w:eastAsia="仿宋"/>
                <w:b/>
                <w:sz w:val="24"/>
                <w:szCs w:val="24"/>
                <w:highlight w:val="none"/>
              </w:rPr>
              <w:t>材料名称</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75FF0DB">
            <w:pPr>
              <w:widowControl/>
              <w:jc w:val="center"/>
              <w:rPr>
                <w:rFonts w:ascii="仿宋" w:hAnsi="仿宋" w:eastAsia="仿宋"/>
                <w:b/>
                <w:sz w:val="24"/>
                <w:szCs w:val="24"/>
                <w:highlight w:val="none"/>
              </w:rPr>
            </w:pPr>
            <w:r>
              <w:rPr>
                <w:rFonts w:hint="eastAsia" w:ascii="仿宋" w:hAnsi="仿宋" w:eastAsia="仿宋"/>
                <w:b/>
                <w:sz w:val="24"/>
                <w:szCs w:val="24"/>
                <w:highlight w:val="none"/>
              </w:rPr>
              <w:t>采购规格</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CD62872">
            <w:pPr>
              <w:widowControl/>
              <w:jc w:val="center"/>
              <w:rPr>
                <w:rFonts w:ascii="仿宋" w:hAnsi="仿宋" w:eastAsia="仿宋"/>
                <w:b/>
                <w:sz w:val="24"/>
                <w:szCs w:val="24"/>
                <w:highlight w:val="none"/>
              </w:rPr>
            </w:pPr>
            <w:r>
              <w:rPr>
                <w:rFonts w:hint="eastAsia" w:ascii="仿宋" w:hAnsi="仿宋" w:eastAsia="仿宋"/>
                <w:b/>
                <w:sz w:val="24"/>
                <w:szCs w:val="24"/>
                <w:highlight w:val="none"/>
              </w:rPr>
              <w:t>单位</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DCC88">
            <w:pPr>
              <w:widowControl/>
              <w:jc w:val="center"/>
              <w:rPr>
                <w:rFonts w:ascii="仿宋" w:hAnsi="仿宋" w:eastAsia="仿宋"/>
                <w:b/>
                <w:sz w:val="24"/>
                <w:szCs w:val="24"/>
                <w:highlight w:val="none"/>
              </w:rPr>
            </w:pPr>
            <w:r>
              <w:rPr>
                <w:rFonts w:hint="eastAsia" w:ascii="仿宋" w:hAnsi="仿宋" w:eastAsia="仿宋"/>
                <w:b/>
                <w:sz w:val="24"/>
                <w:szCs w:val="24"/>
                <w:highlight w:val="none"/>
              </w:rPr>
              <w:t>采购数量</w:t>
            </w:r>
          </w:p>
        </w:tc>
        <w:tc>
          <w:tcPr>
            <w:tcW w:w="1701" w:type="dxa"/>
            <w:tcBorders>
              <w:top w:val="single" w:color="auto" w:sz="4" w:space="0"/>
              <w:left w:val="nil"/>
              <w:bottom w:val="single" w:color="auto" w:sz="4" w:space="0"/>
              <w:right w:val="single" w:color="auto" w:sz="4" w:space="0"/>
            </w:tcBorders>
            <w:shd w:val="clear" w:color="auto" w:fill="auto"/>
            <w:vAlign w:val="center"/>
          </w:tcPr>
          <w:p w14:paraId="070212B8">
            <w:pPr>
              <w:widowControl/>
              <w:jc w:val="center"/>
              <w:rPr>
                <w:rFonts w:ascii="仿宋" w:hAnsi="仿宋" w:eastAsia="仿宋"/>
                <w:b/>
                <w:sz w:val="24"/>
                <w:szCs w:val="24"/>
                <w:highlight w:val="none"/>
              </w:rPr>
            </w:pPr>
            <w:r>
              <w:rPr>
                <w:rFonts w:hint="eastAsia" w:ascii="仿宋" w:hAnsi="仿宋" w:eastAsia="仿宋"/>
                <w:b/>
                <w:sz w:val="24"/>
                <w:szCs w:val="24"/>
                <w:highlight w:val="none"/>
              </w:rPr>
              <w:t>控制单价（元）</w:t>
            </w:r>
          </w:p>
        </w:tc>
        <w:tc>
          <w:tcPr>
            <w:tcW w:w="1701" w:type="dxa"/>
            <w:tcBorders>
              <w:top w:val="single" w:color="auto" w:sz="4" w:space="0"/>
              <w:left w:val="nil"/>
              <w:bottom w:val="single" w:color="auto" w:sz="4" w:space="0"/>
              <w:right w:val="single" w:color="auto" w:sz="4" w:space="0"/>
            </w:tcBorders>
            <w:shd w:val="clear" w:color="auto" w:fill="auto"/>
            <w:vAlign w:val="center"/>
          </w:tcPr>
          <w:p w14:paraId="14B2AE6B">
            <w:pPr>
              <w:widowControl/>
              <w:jc w:val="center"/>
              <w:rPr>
                <w:rFonts w:ascii="仿宋" w:hAnsi="仿宋" w:eastAsia="仿宋"/>
                <w:b/>
                <w:sz w:val="24"/>
                <w:szCs w:val="24"/>
                <w:highlight w:val="none"/>
              </w:rPr>
            </w:pPr>
            <w:r>
              <w:rPr>
                <w:rFonts w:hint="eastAsia" w:ascii="仿宋" w:hAnsi="仿宋" w:eastAsia="仿宋"/>
                <w:b/>
                <w:sz w:val="24"/>
                <w:szCs w:val="24"/>
                <w:highlight w:val="none"/>
              </w:rPr>
              <w:t>控制总价（元）</w:t>
            </w:r>
          </w:p>
        </w:tc>
      </w:tr>
      <w:tr w14:paraId="15839EF6">
        <w:tblPrEx>
          <w:tblCellMar>
            <w:top w:w="0" w:type="dxa"/>
            <w:left w:w="108" w:type="dxa"/>
            <w:bottom w:w="0" w:type="dxa"/>
            <w:right w:w="108" w:type="dxa"/>
          </w:tblCellMar>
        </w:tblPrEx>
        <w:trPr>
          <w:trHeight w:val="1840" w:hRule="atLeast"/>
        </w:trPr>
        <w:tc>
          <w:tcPr>
            <w:tcW w:w="1716" w:type="dxa"/>
            <w:tcBorders>
              <w:top w:val="nil"/>
              <w:left w:val="single" w:color="auto" w:sz="4" w:space="0"/>
              <w:right w:val="single" w:color="auto" w:sz="4" w:space="0"/>
            </w:tcBorders>
            <w:shd w:val="clear" w:color="auto" w:fill="auto"/>
            <w:noWrap/>
            <w:vAlign w:val="center"/>
          </w:tcPr>
          <w:p w14:paraId="70BA13EA">
            <w:pPr>
              <w:jc w:val="center"/>
              <w:rPr>
                <w:rFonts w:ascii="仿宋" w:hAnsi="仿宋" w:eastAsia="仿宋"/>
                <w:szCs w:val="21"/>
                <w:highlight w:val="none"/>
              </w:rPr>
            </w:pPr>
            <w:r>
              <w:rPr>
                <w:rFonts w:ascii="仿宋" w:hAnsi="仿宋" w:eastAsia="仿宋"/>
                <w:szCs w:val="21"/>
                <w:highlight w:val="none"/>
              </w:rPr>
              <w:t>双枪直流充电终端（集控版）</w:t>
            </w:r>
          </w:p>
        </w:tc>
        <w:tc>
          <w:tcPr>
            <w:tcW w:w="1843" w:type="dxa"/>
            <w:tcBorders>
              <w:top w:val="nil"/>
              <w:left w:val="nil"/>
              <w:right w:val="single" w:color="auto" w:sz="4" w:space="0"/>
            </w:tcBorders>
            <w:shd w:val="clear" w:color="auto" w:fill="auto"/>
            <w:vAlign w:val="center"/>
          </w:tcPr>
          <w:p w14:paraId="20AEF5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inherit" w:hAnsi="inherit" w:cs="宋体"/>
                <w:color w:val="333333"/>
                <w:kern w:val="0"/>
                <w:sz w:val="22"/>
                <w:highlight w:val="none"/>
              </w:rPr>
            </w:pPr>
            <w:r>
              <w:rPr>
                <w:rFonts w:ascii="inherit" w:hAnsi="inherit" w:cs="宋体"/>
                <w:color w:val="333333"/>
                <w:kern w:val="0"/>
                <w:sz w:val="22"/>
                <w:highlight w:val="none"/>
              </w:rPr>
              <w:t>250A/60-120KW</w:t>
            </w:r>
          </w:p>
          <w:p w14:paraId="77F17E0E">
            <w:pPr>
              <w:jc w:val="center"/>
              <w:rPr>
                <w:rFonts w:ascii="宋体" w:hAnsi="宋体" w:cs="宋体"/>
                <w:color w:val="000000"/>
                <w:sz w:val="22"/>
                <w:highlight w:val="none"/>
              </w:rPr>
            </w:pPr>
          </w:p>
        </w:tc>
        <w:tc>
          <w:tcPr>
            <w:tcW w:w="709" w:type="dxa"/>
            <w:tcBorders>
              <w:top w:val="nil"/>
              <w:left w:val="nil"/>
              <w:right w:val="single" w:color="auto" w:sz="4" w:space="0"/>
            </w:tcBorders>
            <w:shd w:val="clear" w:color="auto" w:fill="auto"/>
            <w:noWrap/>
            <w:vAlign w:val="center"/>
          </w:tcPr>
          <w:p w14:paraId="50F8EA14">
            <w:pPr>
              <w:widowControl/>
              <w:jc w:val="center"/>
              <w:rPr>
                <w:rFonts w:ascii="仿宋" w:hAnsi="仿宋" w:eastAsia="仿宋"/>
                <w:sz w:val="24"/>
                <w:szCs w:val="24"/>
                <w:highlight w:val="none"/>
              </w:rPr>
            </w:pPr>
            <w:r>
              <w:rPr>
                <w:rFonts w:hint="eastAsia" w:ascii="仿宋" w:hAnsi="仿宋" w:eastAsia="仿宋"/>
                <w:sz w:val="24"/>
                <w:szCs w:val="24"/>
                <w:highlight w:val="none"/>
              </w:rPr>
              <w:t>台</w:t>
            </w:r>
          </w:p>
        </w:tc>
        <w:tc>
          <w:tcPr>
            <w:tcW w:w="1276" w:type="dxa"/>
            <w:tcBorders>
              <w:top w:val="nil"/>
              <w:left w:val="single" w:color="auto" w:sz="4" w:space="0"/>
              <w:right w:val="single" w:color="auto" w:sz="4" w:space="0"/>
            </w:tcBorders>
            <w:shd w:val="clear" w:color="auto" w:fill="auto"/>
            <w:noWrap/>
            <w:vAlign w:val="center"/>
          </w:tcPr>
          <w:p w14:paraId="23A81855">
            <w:pPr>
              <w:jc w:val="center"/>
              <w:rPr>
                <w:rFonts w:ascii="宋体" w:hAnsi="宋体" w:cs="宋体"/>
                <w:color w:val="000000"/>
                <w:sz w:val="22"/>
                <w:highlight w:val="none"/>
              </w:rPr>
            </w:pPr>
            <w:r>
              <w:rPr>
                <w:rFonts w:hint="eastAsia"/>
                <w:color w:val="000000"/>
                <w:sz w:val="22"/>
                <w:highlight w:val="none"/>
              </w:rPr>
              <w:t>6</w:t>
            </w:r>
          </w:p>
        </w:tc>
        <w:tc>
          <w:tcPr>
            <w:tcW w:w="1701" w:type="dxa"/>
            <w:tcBorders>
              <w:top w:val="nil"/>
              <w:left w:val="nil"/>
              <w:right w:val="single" w:color="auto" w:sz="4" w:space="0"/>
            </w:tcBorders>
            <w:shd w:val="clear" w:color="auto" w:fill="auto"/>
            <w:noWrap/>
            <w:vAlign w:val="center"/>
          </w:tcPr>
          <w:p w14:paraId="62EE7D18">
            <w:pPr>
              <w:jc w:val="center"/>
              <w:rPr>
                <w:rFonts w:ascii="宋体" w:hAnsi="宋体" w:cs="宋体"/>
                <w:color w:val="000000"/>
                <w:sz w:val="22"/>
                <w:highlight w:val="none"/>
              </w:rPr>
            </w:pPr>
            <w:r>
              <w:rPr>
                <w:rFonts w:hint="eastAsia"/>
                <w:color w:val="000000"/>
                <w:sz w:val="22"/>
                <w:highlight w:val="none"/>
              </w:rPr>
              <w:t>15466.67</w:t>
            </w:r>
          </w:p>
        </w:tc>
        <w:tc>
          <w:tcPr>
            <w:tcW w:w="1701" w:type="dxa"/>
            <w:tcBorders>
              <w:top w:val="nil"/>
              <w:left w:val="nil"/>
              <w:right w:val="single" w:color="auto" w:sz="4" w:space="0"/>
            </w:tcBorders>
            <w:shd w:val="clear" w:color="auto" w:fill="auto"/>
            <w:noWrap/>
            <w:vAlign w:val="center"/>
          </w:tcPr>
          <w:p w14:paraId="591CD8EF">
            <w:pPr>
              <w:jc w:val="center"/>
              <w:rPr>
                <w:rFonts w:ascii="宋体" w:hAnsi="宋体" w:cs="宋体"/>
                <w:color w:val="000000"/>
                <w:sz w:val="22"/>
                <w:highlight w:val="none"/>
              </w:rPr>
            </w:pPr>
            <w:r>
              <w:rPr>
                <w:rFonts w:hint="eastAsia"/>
                <w:color w:val="000000"/>
                <w:sz w:val="22"/>
                <w:highlight w:val="none"/>
              </w:rPr>
              <w:t>92800.02</w:t>
            </w:r>
          </w:p>
        </w:tc>
      </w:tr>
      <w:tr w14:paraId="10067589">
        <w:tblPrEx>
          <w:tblCellMar>
            <w:top w:w="0" w:type="dxa"/>
            <w:left w:w="108" w:type="dxa"/>
            <w:bottom w:w="0" w:type="dxa"/>
            <w:right w:w="108" w:type="dxa"/>
          </w:tblCellMar>
        </w:tblPrEx>
        <w:trPr>
          <w:trHeight w:val="915" w:hRule="atLeast"/>
        </w:trPr>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F1C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szCs w:val="21"/>
                <w:highlight w:val="none"/>
              </w:rPr>
            </w:pPr>
            <w:r>
              <w:rPr>
                <w:rFonts w:ascii="仿宋" w:hAnsi="仿宋" w:eastAsia="仿宋"/>
                <w:szCs w:val="21"/>
                <w:highlight w:val="none"/>
              </w:rPr>
              <w:t>400KW整流柜</w:t>
            </w:r>
          </w:p>
        </w:tc>
        <w:tc>
          <w:tcPr>
            <w:tcW w:w="1843" w:type="dxa"/>
            <w:tcBorders>
              <w:top w:val="single" w:color="auto" w:sz="4" w:space="0"/>
              <w:left w:val="nil"/>
              <w:bottom w:val="single" w:color="auto" w:sz="4" w:space="0"/>
              <w:right w:val="single" w:color="auto" w:sz="4" w:space="0"/>
            </w:tcBorders>
            <w:shd w:val="clear" w:color="auto" w:fill="auto"/>
            <w:vAlign w:val="center"/>
          </w:tcPr>
          <w:p w14:paraId="396EB42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inherit" w:hAnsi="inherit" w:cs="宋体"/>
                <w:color w:val="333333"/>
                <w:kern w:val="0"/>
                <w:sz w:val="22"/>
                <w:highlight w:val="none"/>
              </w:rPr>
            </w:pPr>
            <w:r>
              <w:rPr>
                <w:rFonts w:ascii="inherit" w:hAnsi="inherit" w:cs="宋体"/>
                <w:color w:val="333333"/>
                <w:kern w:val="0"/>
                <w:sz w:val="22"/>
                <w:highlight w:val="none"/>
              </w:rPr>
              <w:t>HSGK-CZ-2F4A2-750V/200KW/HSGK-CZ-2F8AI-750V/200KW</w:t>
            </w:r>
          </w:p>
          <w:p w14:paraId="018F3C36">
            <w:pPr>
              <w:jc w:val="center"/>
              <w:rPr>
                <w:rFonts w:ascii="宋体" w:hAnsi="宋体" w:cs="宋体"/>
                <w:color w:val="000000"/>
                <w:sz w:val="22"/>
                <w:highlight w:val="none"/>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EB374E9">
            <w:pPr>
              <w:widowControl/>
              <w:jc w:val="center"/>
              <w:rPr>
                <w:rFonts w:ascii="仿宋" w:hAnsi="仿宋" w:eastAsia="仿宋"/>
                <w:sz w:val="24"/>
                <w:szCs w:val="24"/>
                <w:highlight w:val="none"/>
              </w:rPr>
            </w:pPr>
            <w:r>
              <w:rPr>
                <w:rFonts w:hint="eastAsia" w:ascii="仿宋" w:hAnsi="仿宋" w:eastAsia="仿宋"/>
                <w:sz w:val="24"/>
                <w:szCs w:val="24"/>
                <w:highlight w:val="none"/>
              </w:rPr>
              <w:t>台</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1BC54">
            <w:pPr>
              <w:jc w:val="center"/>
              <w:rPr>
                <w:rFonts w:ascii="宋体" w:hAnsi="宋体" w:cs="宋体"/>
                <w:color w:val="000000"/>
                <w:sz w:val="22"/>
                <w:highlight w:val="none"/>
              </w:rPr>
            </w:pPr>
            <w:r>
              <w:rPr>
                <w:rFonts w:hint="eastAsia"/>
                <w:color w:val="000000"/>
                <w:sz w:val="22"/>
                <w:highlight w:val="none"/>
              </w:rPr>
              <w:t>2</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614A4C63">
            <w:pPr>
              <w:jc w:val="center"/>
              <w:rPr>
                <w:rFonts w:ascii="宋体" w:hAnsi="宋体" w:cs="宋体"/>
                <w:color w:val="000000"/>
                <w:sz w:val="22"/>
                <w:highlight w:val="none"/>
              </w:rPr>
            </w:pPr>
            <w:r>
              <w:rPr>
                <w:rFonts w:hint="eastAsia"/>
                <w:color w:val="000000"/>
                <w:sz w:val="22"/>
                <w:highlight w:val="none"/>
              </w:rPr>
              <w:t>149600.00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AA4E066">
            <w:pPr>
              <w:jc w:val="center"/>
              <w:rPr>
                <w:rFonts w:ascii="宋体" w:hAnsi="宋体" w:cs="宋体"/>
                <w:color w:val="000000"/>
                <w:sz w:val="22"/>
                <w:highlight w:val="none"/>
              </w:rPr>
            </w:pPr>
            <w:r>
              <w:rPr>
                <w:rFonts w:hint="eastAsia"/>
                <w:color w:val="000000"/>
                <w:sz w:val="22"/>
                <w:highlight w:val="none"/>
              </w:rPr>
              <w:t>299200.00</w:t>
            </w:r>
          </w:p>
        </w:tc>
      </w:tr>
      <w:tr w14:paraId="724CDB6D">
        <w:tblPrEx>
          <w:tblCellMar>
            <w:top w:w="0" w:type="dxa"/>
            <w:left w:w="108" w:type="dxa"/>
            <w:bottom w:w="0" w:type="dxa"/>
            <w:right w:w="108" w:type="dxa"/>
          </w:tblCellMar>
        </w:tblPrEx>
        <w:trPr>
          <w:trHeight w:val="915" w:hRule="atLeast"/>
        </w:trPr>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78C89">
            <w:pPr>
              <w:widowControl/>
              <w:jc w:val="center"/>
              <w:rPr>
                <w:rFonts w:ascii="仿宋" w:hAnsi="仿宋" w:eastAsia="仿宋"/>
                <w:sz w:val="24"/>
                <w:szCs w:val="24"/>
                <w:highlight w:val="none"/>
              </w:rPr>
            </w:pPr>
            <w:r>
              <w:rPr>
                <w:rFonts w:hint="eastAsia" w:ascii="仿宋" w:hAnsi="仿宋" w:eastAsia="仿宋"/>
                <w:sz w:val="24"/>
                <w:szCs w:val="24"/>
                <w:highlight w:val="none"/>
              </w:rPr>
              <w:t>合计</w:t>
            </w:r>
          </w:p>
        </w:tc>
        <w:tc>
          <w:tcPr>
            <w:tcW w:w="7230" w:type="dxa"/>
            <w:gridSpan w:val="5"/>
            <w:tcBorders>
              <w:top w:val="single" w:color="auto" w:sz="4" w:space="0"/>
              <w:bottom w:val="single" w:color="auto" w:sz="4" w:space="0"/>
              <w:right w:val="single" w:color="auto" w:sz="4" w:space="0"/>
            </w:tcBorders>
            <w:shd w:val="clear" w:color="auto" w:fill="auto"/>
          </w:tcPr>
          <w:p w14:paraId="181F9555">
            <w:pPr>
              <w:widowControl/>
              <w:jc w:val="left"/>
              <w:rPr>
                <w:highlight w:val="none"/>
              </w:rPr>
            </w:pPr>
            <w:r>
              <w:rPr>
                <w:rFonts w:hint="eastAsia"/>
                <w:highlight w:val="none"/>
              </w:rPr>
              <w:t xml:space="preserve">                                                            </w:t>
            </w:r>
          </w:p>
          <w:p w14:paraId="759C4894">
            <w:pPr>
              <w:widowControl/>
              <w:jc w:val="left"/>
              <w:rPr>
                <w:highlight w:val="none"/>
              </w:rPr>
            </w:pPr>
            <w:r>
              <w:rPr>
                <w:rFonts w:hint="eastAsia"/>
                <w:highlight w:val="none"/>
              </w:rPr>
              <w:t xml:space="preserve">                                                          392000.02</w:t>
            </w:r>
          </w:p>
        </w:tc>
      </w:tr>
    </w:tbl>
    <w:p w14:paraId="2B376ADA">
      <w:pPr>
        <w:spacing w:line="560" w:lineRule="exact"/>
        <w:ind w:firstLine="560" w:firstLineChars="200"/>
        <w:rPr>
          <w:rFonts w:ascii="仿宋" w:hAnsi="仿宋" w:eastAsia="仿宋"/>
          <w:sz w:val="28"/>
          <w:szCs w:val="28"/>
          <w:highlight w:val="none"/>
        </w:rPr>
      </w:pPr>
    </w:p>
    <w:p w14:paraId="52C49810">
      <w:pPr>
        <w:widowControl/>
        <w:jc w:val="left"/>
        <w:rPr>
          <w:rFonts w:ascii="黑体" w:hAnsi="黑体" w:eastAsia="黑体" w:cs="黑体"/>
          <w:bCs/>
          <w:sz w:val="32"/>
          <w:szCs w:val="32"/>
          <w:highlight w:val="none"/>
        </w:rPr>
      </w:pPr>
      <w:bookmarkStart w:id="18" w:name="_Toc134452757"/>
      <w:r>
        <w:rPr>
          <w:rFonts w:ascii="黑体" w:hAnsi="黑体" w:eastAsia="黑体" w:cs="黑体"/>
          <w:bCs/>
          <w:sz w:val="32"/>
          <w:szCs w:val="32"/>
          <w:highlight w:val="none"/>
        </w:rPr>
        <w:br w:type="page"/>
      </w:r>
    </w:p>
    <w:bookmarkEnd w:id="18"/>
    <w:p w14:paraId="643E5592">
      <w:pPr>
        <w:widowControl/>
        <w:autoSpaceDE w:val="0"/>
        <w:autoSpaceDN w:val="0"/>
        <w:adjustRightInd w:val="0"/>
        <w:spacing w:line="560" w:lineRule="exact"/>
        <w:rPr>
          <w:rStyle w:val="43"/>
          <w:rFonts w:cs="仿宋"/>
          <w:sz w:val="24"/>
          <w:szCs w:val="24"/>
          <w:highlight w:val="none"/>
        </w:rPr>
      </w:pPr>
      <w:bookmarkStart w:id="19" w:name="_Toc300835213"/>
      <w:bookmarkStart w:id="20" w:name="_Toc152045791"/>
      <w:bookmarkStart w:id="21" w:name="_Toc247514283"/>
      <w:bookmarkStart w:id="22" w:name="_Toc247527831"/>
      <w:bookmarkStart w:id="23" w:name="_Toc144974860"/>
      <w:bookmarkStart w:id="24" w:name="_Toc152042580"/>
      <w:r>
        <w:rPr>
          <w:rStyle w:val="43"/>
          <w:rFonts w:hint="eastAsia" w:cs="仿宋"/>
          <w:sz w:val="24"/>
          <w:szCs w:val="24"/>
          <w:highlight w:val="none"/>
        </w:rPr>
        <w:t xml:space="preserve">附件                         </w:t>
      </w:r>
    </w:p>
    <w:p w14:paraId="6AC37A9B">
      <w:pPr>
        <w:spacing w:line="560" w:lineRule="exact"/>
        <w:jc w:val="center"/>
        <w:rPr>
          <w:rFonts w:ascii="仿宋" w:hAnsi="仿宋" w:eastAsia="仿宋" w:cs="仿宋"/>
          <w:sz w:val="28"/>
          <w:szCs w:val="28"/>
          <w:highlight w:val="none"/>
        </w:rPr>
      </w:pPr>
      <w:r>
        <w:rPr>
          <w:rFonts w:hint="eastAsia" w:ascii="仿宋" w:hAnsi="仿宋" w:eastAsia="仿宋" w:cs="仿宋"/>
          <w:sz w:val="32"/>
          <w:szCs w:val="32"/>
          <w:highlight w:val="none"/>
        </w:rPr>
        <w:t>法定代表人身份证明</w:t>
      </w:r>
      <w:bookmarkEnd w:id="19"/>
      <w:bookmarkEnd w:id="20"/>
      <w:bookmarkEnd w:id="21"/>
      <w:bookmarkEnd w:id="22"/>
      <w:bookmarkEnd w:id="23"/>
      <w:bookmarkEnd w:id="24"/>
    </w:p>
    <w:p w14:paraId="45672CA5">
      <w:pPr>
        <w:spacing w:line="560" w:lineRule="exact"/>
        <w:rPr>
          <w:rFonts w:ascii="仿宋" w:hAnsi="仿宋" w:eastAsia="仿宋" w:cs="仿宋"/>
          <w:sz w:val="28"/>
          <w:szCs w:val="28"/>
          <w:highlight w:val="none"/>
        </w:rPr>
      </w:pPr>
    </w:p>
    <w:p w14:paraId="6B42C8DB">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供应商名称：</w:t>
      </w:r>
    </w:p>
    <w:p w14:paraId="53E7FF93">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单位性质：</w:t>
      </w:r>
    </w:p>
    <w:p w14:paraId="75A9AB9B">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 xml:space="preserve">地址： </w:t>
      </w:r>
    </w:p>
    <w:p w14:paraId="55AB30CC">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成立时间： 年  月 日</w:t>
      </w:r>
    </w:p>
    <w:p w14:paraId="7956AA76">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经营期限：</w:t>
      </w:r>
    </w:p>
    <w:p w14:paraId="3DBE197A">
      <w:pPr>
        <w:spacing w:line="560" w:lineRule="exact"/>
        <w:rPr>
          <w:rFonts w:ascii="仿宋" w:hAnsi="仿宋" w:eastAsia="仿宋" w:cs="仿宋"/>
          <w:sz w:val="28"/>
          <w:szCs w:val="28"/>
          <w:highlight w:val="none"/>
        </w:rPr>
      </w:pPr>
    </w:p>
    <w:p w14:paraId="4AF875F1">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姓名：    性别：   年龄：    职务：</w:t>
      </w:r>
    </w:p>
    <w:p w14:paraId="606A9453">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系 （供应商名称）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的法定代表人。</w:t>
      </w:r>
    </w:p>
    <w:p w14:paraId="55254856">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14:paraId="25AC415A">
      <w:pPr>
        <w:spacing w:line="560" w:lineRule="exact"/>
        <w:rPr>
          <w:rFonts w:ascii="仿宋" w:hAnsi="仿宋" w:eastAsia="仿宋" w:cs="仿宋"/>
          <w:sz w:val="28"/>
          <w:szCs w:val="28"/>
          <w:highlight w:val="none"/>
        </w:rPr>
      </w:pPr>
    </w:p>
    <w:p w14:paraId="2E71EBF8">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14:paraId="3818DF2A">
      <w:pPr>
        <w:spacing w:line="560" w:lineRule="exact"/>
        <w:rPr>
          <w:rFonts w:ascii="仿宋" w:hAnsi="仿宋" w:eastAsia="仿宋" w:cs="仿宋"/>
          <w:sz w:val="28"/>
          <w:szCs w:val="28"/>
          <w:highlight w:val="none"/>
        </w:rPr>
      </w:pPr>
    </w:p>
    <w:p w14:paraId="4E059233">
      <w:pPr>
        <w:spacing w:line="560" w:lineRule="exact"/>
        <w:rPr>
          <w:rFonts w:ascii="仿宋" w:hAnsi="仿宋" w:eastAsia="仿宋" w:cs="仿宋"/>
          <w:sz w:val="28"/>
          <w:szCs w:val="28"/>
          <w:highlight w:val="none"/>
        </w:rPr>
      </w:pPr>
    </w:p>
    <w:p w14:paraId="220976FD">
      <w:pPr>
        <w:spacing w:line="560" w:lineRule="exact"/>
        <w:rPr>
          <w:rFonts w:ascii="仿宋" w:hAnsi="仿宋" w:eastAsia="仿宋" w:cs="仿宋"/>
          <w:sz w:val="28"/>
          <w:szCs w:val="28"/>
          <w:highlight w:val="none"/>
        </w:rPr>
      </w:pPr>
    </w:p>
    <w:p w14:paraId="6F4955EB">
      <w:pPr>
        <w:spacing w:line="560" w:lineRule="exact"/>
        <w:rPr>
          <w:rFonts w:ascii="仿宋" w:hAnsi="仿宋" w:eastAsia="仿宋" w:cs="仿宋"/>
          <w:sz w:val="28"/>
          <w:szCs w:val="28"/>
          <w:highlight w:val="none"/>
        </w:rPr>
      </w:pPr>
    </w:p>
    <w:p w14:paraId="3A6AFAD4">
      <w:pPr>
        <w:spacing w:line="560" w:lineRule="exact"/>
        <w:rPr>
          <w:rFonts w:ascii="仿宋" w:hAnsi="仿宋" w:eastAsia="仿宋" w:cs="仿宋"/>
          <w:sz w:val="28"/>
          <w:szCs w:val="28"/>
          <w:highlight w:val="none"/>
        </w:rPr>
      </w:pPr>
    </w:p>
    <w:p w14:paraId="5F9AED80">
      <w:pPr>
        <w:spacing w:line="560" w:lineRule="exact"/>
        <w:rPr>
          <w:rFonts w:ascii="仿宋" w:hAnsi="仿宋" w:eastAsia="仿宋" w:cs="仿宋"/>
          <w:sz w:val="28"/>
          <w:szCs w:val="28"/>
          <w:highlight w:val="none"/>
        </w:rPr>
      </w:pPr>
    </w:p>
    <w:p w14:paraId="77DAC757">
      <w:pPr>
        <w:spacing w:line="560" w:lineRule="exact"/>
        <w:rPr>
          <w:rFonts w:ascii="仿宋" w:hAnsi="仿宋" w:eastAsia="仿宋" w:cs="仿宋"/>
          <w:sz w:val="28"/>
          <w:szCs w:val="28"/>
          <w:highlight w:val="none"/>
        </w:rPr>
      </w:pPr>
    </w:p>
    <w:p w14:paraId="49828B3C">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供应商：（公章）</w:t>
      </w:r>
    </w:p>
    <w:p w14:paraId="1AC6A2FE">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年  月  日           </w:t>
      </w:r>
    </w:p>
    <w:p w14:paraId="3E9A89FD">
      <w:pPr>
        <w:widowControl/>
        <w:autoSpaceDE w:val="0"/>
        <w:autoSpaceDN w:val="0"/>
        <w:adjustRightInd w:val="0"/>
        <w:spacing w:line="560" w:lineRule="exact"/>
        <w:rPr>
          <w:rStyle w:val="43"/>
          <w:rFonts w:cs="仿宋"/>
          <w:sz w:val="24"/>
          <w:szCs w:val="24"/>
          <w:highlight w:val="none"/>
        </w:rPr>
      </w:pPr>
      <w:r>
        <w:rPr>
          <w:rStyle w:val="43"/>
          <w:rFonts w:hint="eastAsia" w:cs="仿宋"/>
          <w:sz w:val="24"/>
          <w:szCs w:val="24"/>
          <w:highlight w:val="none"/>
        </w:rPr>
        <w:br w:type="page"/>
      </w:r>
      <w:r>
        <w:rPr>
          <w:rStyle w:val="43"/>
          <w:rFonts w:hint="eastAsia" w:cs="仿宋"/>
          <w:sz w:val="24"/>
          <w:szCs w:val="24"/>
          <w:highlight w:val="none"/>
        </w:rPr>
        <w:t xml:space="preserve">附件   </w:t>
      </w:r>
    </w:p>
    <w:p w14:paraId="613984B1">
      <w:pPr>
        <w:pStyle w:val="16"/>
        <w:jc w:val="center"/>
        <w:rPr>
          <w:rFonts w:ascii="仿宋" w:hAnsi="仿宋" w:eastAsia="仿宋"/>
          <w:kern w:val="1"/>
          <w:sz w:val="32"/>
          <w:szCs w:val="32"/>
          <w:highlight w:val="none"/>
        </w:rPr>
      </w:pPr>
      <w:r>
        <w:rPr>
          <w:rFonts w:hint="eastAsia" w:ascii="仿宋" w:hAnsi="仿宋" w:eastAsia="仿宋"/>
          <w:kern w:val="1"/>
          <w:sz w:val="32"/>
          <w:szCs w:val="32"/>
          <w:highlight w:val="none"/>
        </w:rPr>
        <w:t>法定代表人授权委托书</w:t>
      </w:r>
    </w:p>
    <w:p w14:paraId="1F5607A6">
      <w:pPr>
        <w:widowControl/>
        <w:autoSpaceDE w:val="0"/>
        <w:autoSpaceDN w:val="0"/>
        <w:adjustRightInd w:val="0"/>
        <w:spacing w:line="560" w:lineRule="exact"/>
        <w:rPr>
          <w:rFonts w:ascii="仿宋" w:hAnsi="仿宋" w:eastAsia="仿宋" w:cs="仿宋"/>
          <w:kern w:val="1"/>
          <w:sz w:val="28"/>
          <w:szCs w:val="28"/>
          <w:highlight w:val="none"/>
        </w:rPr>
      </w:pPr>
    </w:p>
    <w:p w14:paraId="0F38FB7C">
      <w:pPr>
        <w:widowControl/>
        <w:autoSpaceDE w:val="0"/>
        <w:autoSpaceDN w:val="0"/>
        <w:adjustRightInd w:val="0"/>
        <w:spacing w:line="560" w:lineRule="exact"/>
        <w:rPr>
          <w:rFonts w:ascii="仿宋" w:hAnsi="仿宋" w:eastAsia="仿宋" w:cs="仿宋"/>
          <w:kern w:val="1"/>
          <w:sz w:val="28"/>
          <w:szCs w:val="28"/>
          <w:highlight w:val="none"/>
        </w:rPr>
      </w:pPr>
      <w:r>
        <w:rPr>
          <w:rFonts w:hint="eastAsia" w:ascii="仿宋" w:hAnsi="仿宋" w:eastAsia="仿宋" w:cs="仿宋"/>
          <w:kern w:val="1"/>
          <w:sz w:val="28"/>
          <w:szCs w:val="28"/>
          <w:highlight w:val="none"/>
          <w:u w:val="single"/>
        </w:rPr>
        <w:t xml:space="preserve">   （采购人）  </w:t>
      </w:r>
      <w:r>
        <w:rPr>
          <w:rStyle w:val="43"/>
          <w:rFonts w:hint="eastAsia" w:cs="仿宋"/>
          <w:sz w:val="28"/>
          <w:szCs w:val="28"/>
          <w:highlight w:val="none"/>
        </w:rPr>
        <w:t>：</w:t>
      </w:r>
    </w:p>
    <w:p w14:paraId="65070201">
      <w:pPr>
        <w:widowControl/>
        <w:autoSpaceDE w:val="0"/>
        <w:autoSpaceDN w:val="0"/>
        <w:adjustRightInd w:val="0"/>
        <w:spacing w:line="560" w:lineRule="exact"/>
        <w:ind w:firstLine="480"/>
        <w:rPr>
          <w:rFonts w:ascii="仿宋" w:hAnsi="仿宋" w:eastAsia="仿宋" w:cs="仿宋"/>
          <w:kern w:val="1"/>
          <w:sz w:val="28"/>
          <w:szCs w:val="28"/>
          <w:highlight w:val="none"/>
        </w:rPr>
      </w:pPr>
      <w:r>
        <w:rPr>
          <w:rStyle w:val="43"/>
          <w:rFonts w:hint="eastAsia" w:cs="仿宋"/>
          <w:sz w:val="28"/>
          <w:szCs w:val="28"/>
          <w:highlight w:val="none"/>
        </w:rPr>
        <w:t>我</w:t>
      </w:r>
      <w:r>
        <w:rPr>
          <w:rFonts w:hint="eastAsia" w:ascii="仿宋" w:hAnsi="仿宋" w:eastAsia="仿宋" w:cs="仿宋"/>
          <w:kern w:val="1"/>
          <w:sz w:val="28"/>
          <w:szCs w:val="28"/>
          <w:highlight w:val="none"/>
          <w:u w:val="single"/>
        </w:rPr>
        <w:t xml:space="preserve">   （姓名） </w:t>
      </w:r>
      <w:r>
        <w:rPr>
          <w:rStyle w:val="43"/>
          <w:rFonts w:hint="eastAsia" w:cs="仿宋"/>
          <w:sz w:val="28"/>
          <w:szCs w:val="28"/>
          <w:highlight w:val="none"/>
        </w:rPr>
        <w:t>系</w:t>
      </w:r>
      <w:r>
        <w:rPr>
          <w:rFonts w:hint="eastAsia" w:ascii="仿宋" w:hAnsi="仿宋" w:eastAsia="仿宋" w:cs="仿宋"/>
          <w:kern w:val="1"/>
          <w:sz w:val="28"/>
          <w:szCs w:val="28"/>
          <w:highlight w:val="none"/>
          <w:u w:val="single"/>
        </w:rPr>
        <w:t xml:space="preserve">    （供应商名称）</w:t>
      </w:r>
      <w:r>
        <w:rPr>
          <w:rStyle w:val="43"/>
          <w:rFonts w:hint="eastAsia" w:cs="仿宋"/>
          <w:sz w:val="28"/>
          <w:szCs w:val="28"/>
          <w:highlight w:val="none"/>
        </w:rPr>
        <w:t>法定代表人，现授权委托我公司的</w:t>
      </w:r>
      <w:r>
        <w:rPr>
          <w:rFonts w:hint="eastAsia" w:ascii="仿宋" w:hAnsi="仿宋" w:eastAsia="仿宋" w:cs="仿宋"/>
          <w:kern w:val="1"/>
          <w:sz w:val="28"/>
          <w:szCs w:val="28"/>
          <w:highlight w:val="none"/>
          <w:u w:val="single"/>
        </w:rPr>
        <w:t xml:space="preserve">  （姓名、职务或者职称）</w:t>
      </w:r>
      <w:r>
        <w:rPr>
          <w:rStyle w:val="43"/>
          <w:rFonts w:hint="eastAsia" w:cs="仿宋"/>
          <w:sz w:val="28"/>
          <w:szCs w:val="28"/>
          <w:highlight w:val="none"/>
        </w:rPr>
        <w:t>为我公司本次项目的授权代表，代表我方办理本次报价、签约等相关事宜，签署全部有关的文件、协议、合同并具有法律效力。</w:t>
      </w:r>
    </w:p>
    <w:p w14:paraId="35BD17B9">
      <w:pPr>
        <w:widowControl/>
        <w:autoSpaceDE w:val="0"/>
        <w:autoSpaceDN w:val="0"/>
        <w:adjustRightInd w:val="0"/>
        <w:spacing w:line="560" w:lineRule="exact"/>
        <w:ind w:firstLine="480"/>
        <w:rPr>
          <w:rStyle w:val="43"/>
          <w:rFonts w:cs="仿宋"/>
          <w:sz w:val="28"/>
          <w:szCs w:val="28"/>
          <w:highlight w:val="none"/>
        </w:rPr>
      </w:pPr>
      <w:r>
        <w:rPr>
          <w:rStyle w:val="43"/>
          <w:rFonts w:hint="eastAsia" w:cs="仿宋"/>
          <w:sz w:val="28"/>
          <w:szCs w:val="28"/>
          <w:highlight w:val="none"/>
        </w:rPr>
        <w:t>在我方未发出撤销授权委托书的书面通知以前，本授权委托书一直有效。被授权人签署的所有文件（在授权书有效期内签署的）不因授权撤销而失效。</w:t>
      </w:r>
    </w:p>
    <w:p w14:paraId="27D77D7D">
      <w:pPr>
        <w:widowControl/>
        <w:autoSpaceDE w:val="0"/>
        <w:autoSpaceDN w:val="0"/>
        <w:adjustRightInd w:val="0"/>
        <w:spacing w:line="560" w:lineRule="exact"/>
        <w:ind w:firstLine="480"/>
        <w:rPr>
          <w:rStyle w:val="43"/>
          <w:rFonts w:cs="仿宋"/>
          <w:sz w:val="28"/>
          <w:szCs w:val="28"/>
          <w:highlight w:val="none"/>
        </w:rPr>
      </w:pPr>
      <w:r>
        <w:rPr>
          <w:rStyle w:val="43"/>
          <w:rFonts w:hint="eastAsia" w:cs="仿宋"/>
          <w:sz w:val="28"/>
          <w:szCs w:val="28"/>
          <w:highlight w:val="none"/>
        </w:rPr>
        <w:t>被授权代表无权转让委托权。特此授权。</w:t>
      </w:r>
    </w:p>
    <w:p w14:paraId="6012CE09">
      <w:pPr>
        <w:widowControl/>
        <w:autoSpaceDE w:val="0"/>
        <w:autoSpaceDN w:val="0"/>
        <w:adjustRightInd w:val="0"/>
        <w:spacing w:line="560" w:lineRule="exact"/>
        <w:ind w:firstLine="480"/>
        <w:rPr>
          <w:rFonts w:ascii="仿宋" w:hAnsi="仿宋" w:eastAsia="仿宋" w:cs="仿宋"/>
          <w:kern w:val="1"/>
          <w:sz w:val="28"/>
          <w:szCs w:val="28"/>
          <w:highlight w:val="none"/>
        </w:rPr>
      </w:pPr>
      <w:r>
        <w:rPr>
          <w:rStyle w:val="43"/>
          <w:rFonts w:hint="eastAsia" w:cs="仿宋"/>
          <w:sz w:val="28"/>
          <w:szCs w:val="28"/>
          <w:highlight w:val="none"/>
        </w:rPr>
        <w:t>本授权委托书于</w:t>
      </w:r>
      <w:r>
        <w:rPr>
          <w:rStyle w:val="43"/>
          <w:rFonts w:hint="eastAsia" w:cs="仿宋"/>
          <w:sz w:val="28"/>
          <w:szCs w:val="28"/>
          <w:highlight w:val="none"/>
          <w:u w:val="single"/>
        </w:rPr>
        <w:t xml:space="preserve">      </w:t>
      </w:r>
      <w:r>
        <w:rPr>
          <w:rStyle w:val="43"/>
          <w:rFonts w:hint="eastAsia" w:cs="仿宋"/>
          <w:sz w:val="28"/>
          <w:szCs w:val="28"/>
          <w:highlight w:val="none"/>
        </w:rPr>
        <w:t>年</w:t>
      </w:r>
      <w:r>
        <w:rPr>
          <w:rStyle w:val="43"/>
          <w:rFonts w:hint="eastAsia" w:cs="仿宋"/>
          <w:sz w:val="28"/>
          <w:szCs w:val="28"/>
          <w:highlight w:val="none"/>
          <w:u w:val="single"/>
        </w:rPr>
        <w:t xml:space="preserve">    </w:t>
      </w:r>
      <w:r>
        <w:rPr>
          <w:rStyle w:val="43"/>
          <w:rFonts w:hint="eastAsia" w:cs="仿宋"/>
          <w:sz w:val="28"/>
          <w:szCs w:val="28"/>
          <w:highlight w:val="none"/>
        </w:rPr>
        <w:t xml:space="preserve">月 </w:t>
      </w:r>
      <w:r>
        <w:rPr>
          <w:rStyle w:val="43"/>
          <w:rFonts w:hint="eastAsia" w:cs="仿宋"/>
          <w:sz w:val="28"/>
          <w:szCs w:val="28"/>
          <w:highlight w:val="none"/>
          <w:u w:val="single"/>
        </w:rPr>
        <w:t xml:space="preserve">    </w:t>
      </w:r>
      <w:r>
        <w:rPr>
          <w:rStyle w:val="43"/>
          <w:rFonts w:hint="eastAsia" w:cs="仿宋"/>
          <w:sz w:val="28"/>
          <w:szCs w:val="28"/>
          <w:highlight w:val="none"/>
        </w:rPr>
        <w:t>日起签字生效,特此声明。</w:t>
      </w:r>
    </w:p>
    <w:p w14:paraId="127B75B1">
      <w:pPr>
        <w:widowControl/>
        <w:autoSpaceDE w:val="0"/>
        <w:autoSpaceDN w:val="0"/>
        <w:adjustRightInd w:val="0"/>
        <w:spacing w:line="560" w:lineRule="exact"/>
        <w:rPr>
          <w:rFonts w:ascii="仿宋" w:hAnsi="仿宋" w:eastAsia="仿宋" w:cs="仿宋"/>
          <w:kern w:val="1"/>
          <w:sz w:val="28"/>
          <w:szCs w:val="28"/>
          <w:highlight w:val="none"/>
        </w:rPr>
      </w:pPr>
    </w:p>
    <w:p w14:paraId="08D88488">
      <w:pPr>
        <w:widowControl/>
        <w:autoSpaceDE w:val="0"/>
        <w:autoSpaceDN w:val="0"/>
        <w:adjustRightInd w:val="0"/>
        <w:spacing w:line="560" w:lineRule="exact"/>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t>(附法人代表身份证以及被授权代表身份证复印件)</w:t>
      </w:r>
    </w:p>
    <w:p w14:paraId="453CAC14">
      <w:pPr>
        <w:widowControl/>
        <w:autoSpaceDE w:val="0"/>
        <w:autoSpaceDN w:val="0"/>
        <w:adjustRightInd w:val="0"/>
        <w:spacing w:line="560" w:lineRule="exact"/>
        <w:jc w:val="center"/>
        <w:rPr>
          <w:rFonts w:ascii="仿宋" w:hAnsi="仿宋" w:eastAsia="仿宋" w:cs="仿宋"/>
          <w:kern w:val="1"/>
          <w:sz w:val="28"/>
          <w:szCs w:val="28"/>
          <w:highlight w:val="none"/>
        </w:rPr>
      </w:pPr>
    </w:p>
    <w:p w14:paraId="5E336440">
      <w:pPr>
        <w:widowControl/>
        <w:autoSpaceDE w:val="0"/>
        <w:autoSpaceDN w:val="0"/>
        <w:adjustRightInd w:val="0"/>
        <w:spacing w:line="560" w:lineRule="exact"/>
        <w:jc w:val="center"/>
        <w:rPr>
          <w:rFonts w:ascii="仿宋" w:hAnsi="仿宋" w:eastAsia="仿宋" w:cs="仿宋"/>
          <w:kern w:val="1"/>
          <w:sz w:val="28"/>
          <w:szCs w:val="28"/>
          <w:highlight w:val="none"/>
        </w:rPr>
      </w:pPr>
    </w:p>
    <w:p w14:paraId="64BD989D">
      <w:pPr>
        <w:widowControl/>
        <w:autoSpaceDE w:val="0"/>
        <w:autoSpaceDN w:val="0"/>
        <w:adjustRightInd w:val="0"/>
        <w:spacing w:line="560" w:lineRule="exact"/>
        <w:rPr>
          <w:rStyle w:val="43"/>
          <w:rFonts w:cs="仿宋"/>
          <w:sz w:val="28"/>
          <w:szCs w:val="28"/>
          <w:highlight w:val="none"/>
        </w:rPr>
      </w:pPr>
      <w:r>
        <w:rPr>
          <w:rStyle w:val="43"/>
          <w:rFonts w:hint="eastAsia" w:cs="仿宋"/>
          <w:sz w:val="28"/>
          <w:szCs w:val="28"/>
          <w:highlight w:val="none"/>
        </w:rPr>
        <w:t>被授权代表姓名：             性 别：              年 龄：</w:t>
      </w:r>
    </w:p>
    <w:p w14:paraId="3677CFCF">
      <w:pPr>
        <w:widowControl/>
        <w:autoSpaceDE w:val="0"/>
        <w:autoSpaceDN w:val="0"/>
        <w:adjustRightInd w:val="0"/>
        <w:spacing w:line="560" w:lineRule="exact"/>
        <w:rPr>
          <w:rStyle w:val="43"/>
          <w:rFonts w:cs="仿宋"/>
          <w:sz w:val="28"/>
          <w:szCs w:val="28"/>
          <w:highlight w:val="none"/>
        </w:rPr>
      </w:pPr>
      <w:r>
        <w:rPr>
          <w:rStyle w:val="43"/>
          <w:rFonts w:hint="eastAsia" w:cs="仿宋"/>
          <w:sz w:val="28"/>
          <w:szCs w:val="28"/>
          <w:highlight w:val="none"/>
        </w:rPr>
        <w:t>单  位：                     部 门：              职 务：</w:t>
      </w:r>
    </w:p>
    <w:p w14:paraId="6F2D4F6F">
      <w:pPr>
        <w:widowControl/>
        <w:autoSpaceDE w:val="0"/>
        <w:autoSpaceDN w:val="0"/>
        <w:adjustRightInd w:val="0"/>
        <w:spacing w:line="560" w:lineRule="exact"/>
        <w:rPr>
          <w:rFonts w:ascii="仿宋" w:hAnsi="仿宋" w:eastAsia="仿宋" w:cs="仿宋"/>
          <w:kern w:val="1"/>
          <w:sz w:val="28"/>
          <w:szCs w:val="28"/>
          <w:highlight w:val="none"/>
        </w:rPr>
      </w:pPr>
    </w:p>
    <w:p w14:paraId="14D07C64">
      <w:pPr>
        <w:widowControl/>
        <w:autoSpaceDE w:val="0"/>
        <w:autoSpaceDN w:val="0"/>
        <w:adjustRightInd w:val="0"/>
        <w:spacing w:line="560" w:lineRule="exact"/>
        <w:ind w:firstLine="4200" w:firstLineChars="1500"/>
        <w:rPr>
          <w:rStyle w:val="43"/>
          <w:rFonts w:cs="仿宋"/>
          <w:sz w:val="28"/>
          <w:szCs w:val="28"/>
          <w:highlight w:val="none"/>
        </w:rPr>
      </w:pPr>
      <w:r>
        <w:rPr>
          <w:rStyle w:val="43"/>
          <w:rFonts w:hint="eastAsia" w:cs="仿宋"/>
          <w:sz w:val="28"/>
          <w:szCs w:val="28"/>
          <w:highlight w:val="none"/>
        </w:rPr>
        <w:t>供应商（公章）：</w:t>
      </w:r>
    </w:p>
    <w:p w14:paraId="2669EFF7">
      <w:pPr>
        <w:widowControl/>
        <w:autoSpaceDE w:val="0"/>
        <w:autoSpaceDN w:val="0"/>
        <w:adjustRightInd w:val="0"/>
        <w:spacing w:line="560" w:lineRule="exact"/>
        <w:ind w:firstLine="4200" w:firstLineChars="1500"/>
        <w:rPr>
          <w:rStyle w:val="43"/>
          <w:rFonts w:cs="仿宋"/>
          <w:sz w:val="28"/>
          <w:szCs w:val="28"/>
          <w:highlight w:val="none"/>
        </w:rPr>
      </w:pPr>
      <w:r>
        <w:rPr>
          <w:rStyle w:val="43"/>
          <w:rFonts w:hint="eastAsia" w:cs="仿宋"/>
          <w:sz w:val="28"/>
          <w:szCs w:val="28"/>
          <w:highlight w:val="none"/>
        </w:rPr>
        <w:t>法定代表人（签字）：</w:t>
      </w:r>
    </w:p>
    <w:p w14:paraId="3866663D">
      <w:pPr>
        <w:widowControl/>
        <w:autoSpaceDE w:val="0"/>
        <w:autoSpaceDN w:val="0"/>
        <w:adjustRightInd w:val="0"/>
        <w:spacing w:line="560" w:lineRule="exact"/>
        <w:ind w:firstLine="4200" w:firstLineChars="1500"/>
        <w:rPr>
          <w:rStyle w:val="43"/>
          <w:rFonts w:cs="仿宋"/>
          <w:sz w:val="28"/>
          <w:szCs w:val="28"/>
          <w:highlight w:val="none"/>
        </w:rPr>
      </w:pPr>
      <w:r>
        <w:rPr>
          <w:rStyle w:val="43"/>
          <w:rFonts w:hint="eastAsia" w:cs="仿宋"/>
          <w:sz w:val="28"/>
          <w:szCs w:val="28"/>
          <w:highlight w:val="none"/>
        </w:rPr>
        <w:t>日 期：      年   月   日</w:t>
      </w:r>
    </w:p>
    <w:p w14:paraId="42461AF0">
      <w:pPr>
        <w:widowControl/>
        <w:autoSpaceDE w:val="0"/>
        <w:autoSpaceDN w:val="0"/>
        <w:adjustRightInd w:val="0"/>
        <w:spacing w:line="560" w:lineRule="exact"/>
        <w:rPr>
          <w:rFonts w:ascii="仿宋" w:hAnsi="仿宋" w:eastAsia="仿宋" w:cs="仿宋"/>
          <w:szCs w:val="21"/>
          <w:highlight w:val="none"/>
        </w:rPr>
      </w:pPr>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2260D">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33</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E0C33">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xYTdhZTcyYjMyZTdhYzVkYzFmZDE0YjY3NWZjODEifQ=="/>
  </w:docVars>
  <w:rsids>
    <w:rsidRoot w:val="002A068C"/>
    <w:rsid w:val="00000A24"/>
    <w:rsid w:val="00007ACB"/>
    <w:rsid w:val="0001263A"/>
    <w:rsid w:val="0001346E"/>
    <w:rsid w:val="000153E7"/>
    <w:rsid w:val="00015B21"/>
    <w:rsid w:val="00022F25"/>
    <w:rsid w:val="00027C90"/>
    <w:rsid w:val="00031933"/>
    <w:rsid w:val="00034CC7"/>
    <w:rsid w:val="000355A3"/>
    <w:rsid w:val="000367E1"/>
    <w:rsid w:val="00041DFA"/>
    <w:rsid w:val="000437D5"/>
    <w:rsid w:val="00043B5D"/>
    <w:rsid w:val="000447B0"/>
    <w:rsid w:val="0004725B"/>
    <w:rsid w:val="00047BDA"/>
    <w:rsid w:val="000526A9"/>
    <w:rsid w:val="00053B19"/>
    <w:rsid w:val="00053DEA"/>
    <w:rsid w:val="000545F4"/>
    <w:rsid w:val="00054E4D"/>
    <w:rsid w:val="00057D5B"/>
    <w:rsid w:val="00070F3B"/>
    <w:rsid w:val="00072639"/>
    <w:rsid w:val="00072925"/>
    <w:rsid w:val="00075401"/>
    <w:rsid w:val="00081413"/>
    <w:rsid w:val="000838DA"/>
    <w:rsid w:val="00083915"/>
    <w:rsid w:val="000847B0"/>
    <w:rsid w:val="0008678E"/>
    <w:rsid w:val="00091713"/>
    <w:rsid w:val="0009478B"/>
    <w:rsid w:val="00095E5A"/>
    <w:rsid w:val="000968D0"/>
    <w:rsid w:val="000A3D97"/>
    <w:rsid w:val="000A403E"/>
    <w:rsid w:val="000A416D"/>
    <w:rsid w:val="000A5498"/>
    <w:rsid w:val="000A5DA9"/>
    <w:rsid w:val="000A6840"/>
    <w:rsid w:val="000B6D30"/>
    <w:rsid w:val="000B79C6"/>
    <w:rsid w:val="000C470B"/>
    <w:rsid w:val="000C537E"/>
    <w:rsid w:val="000C70FF"/>
    <w:rsid w:val="000C75EA"/>
    <w:rsid w:val="000C7715"/>
    <w:rsid w:val="000D1B8C"/>
    <w:rsid w:val="000D1DDD"/>
    <w:rsid w:val="000D3DD1"/>
    <w:rsid w:val="000D5EC7"/>
    <w:rsid w:val="000E13F9"/>
    <w:rsid w:val="000E190C"/>
    <w:rsid w:val="000E3660"/>
    <w:rsid w:val="000E47E5"/>
    <w:rsid w:val="000E4C75"/>
    <w:rsid w:val="001011B7"/>
    <w:rsid w:val="0010179C"/>
    <w:rsid w:val="0010618B"/>
    <w:rsid w:val="001105A1"/>
    <w:rsid w:val="00111D38"/>
    <w:rsid w:val="00116CDF"/>
    <w:rsid w:val="0012476C"/>
    <w:rsid w:val="0013287D"/>
    <w:rsid w:val="00134134"/>
    <w:rsid w:val="00134E02"/>
    <w:rsid w:val="001359EA"/>
    <w:rsid w:val="001369C5"/>
    <w:rsid w:val="00136D33"/>
    <w:rsid w:val="0013735F"/>
    <w:rsid w:val="001404D8"/>
    <w:rsid w:val="0014169B"/>
    <w:rsid w:val="00145072"/>
    <w:rsid w:val="00147879"/>
    <w:rsid w:val="00151BBC"/>
    <w:rsid w:val="00152BDF"/>
    <w:rsid w:val="00164834"/>
    <w:rsid w:val="00170C48"/>
    <w:rsid w:val="00174687"/>
    <w:rsid w:val="0018289B"/>
    <w:rsid w:val="00185BF5"/>
    <w:rsid w:val="00192766"/>
    <w:rsid w:val="00192C98"/>
    <w:rsid w:val="00196957"/>
    <w:rsid w:val="001A1A23"/>
    <w:rsid w:val="001A21C4"/>
    <w:rsid w:val="001B1D52"/>
    <w:rsid w:val="001B3021"/>
    <w:rsid w:val="001B31E0"/>
    <w:rsid w:val="001B3C10"/>
    <w:rsid w:val="001B7DF1"/>
    <w:rsid w:val="001C0D47"/>
    <w:rsid w:val="001C1133"/>
    <w:rsid w:val="001D0AB4"/>
    <w:rsid w:val="001D0BCC"/>
    <w:rsid w:val="001D2BA7"/>
    <w:rsid w:val="001D5B64"/>
    <w:rsid w:val="001E1D37"/>
    <w:rsid w:val="001E26D1"/>
    <w:rsid w:val="001E4E81"/>
    <w:rsid w:val="001E5062"/>
    <w:rsid w:val="001E5D63"/>
    <w:rsid w:val="001E6C66"/>
    <w:rsid w:val="001E7665"/>
    <w:rsid w:val="001F25D4"/>
    <w:rsid w:val="001F3B6A"/>
    <w:rsid w:val="001F542A"/>
    <w:rsid w:val="001F73BB"/>
    <w:rsid w:val="001F764F"/>
    <w:rsid w:val="00202D04"/>
    <w:rsid w:val="002033EC"/>
    <w:rsid w:val="00205D69"/>
    <w:rsid w:val="002108AF"/>
    <w:rsid w:val="00220411"/>
    <w:rsid w:val="00220C0D"/>
    <w:rsid w:val="0022191D"/>
    <w:rsid w:val="0022306B"/>
    <w:rsid w:val="0022317B"/>
    <w:rsid w:val="00223BD7"/>
    <w:rsid w:val="0022466F"/>
    <w:rsid w:val="00224AC5"/>
    <w:rsid w:val="00232E85"/>
    <w:rsid w:val="00233FAB"/>
    <w:rsid w:val="00236D96"/>
    <w:rsid w:val="00237061"/>
    <w:rsid w:val="00237516"/>
    <w:rsid w:val="00237B4F"/>
    <w:rsid w:val="00242C3A"/>
    <w:rsid w:val="0025401A"/>
    <w:rsid w:val="00254A74"/>
    <w:rsid w:val="002554CA"/>
    <w:rsid w:val="002618C8"/>
    <w:rsid w:val="00262280"/>
    <w:rsid w:val="00263EE8"/>
    <w:rsid w:val="00264A03"/>
    <w:rsid w:val="00265392"/>
    <w:rsid w:val="002660C0"/>
    <w:rsid w:val="00266600"/>
    <w:rsid w:val="00273059"/>
    <w:rsid w:val="00277738"/>
    <w:rsid w:val="00280F75"/>
    <w:rsid w:val="00282C9B"/>
    <w:rsid w:val="002832BB"/>
    <w:rsid w:val="00284883"/>
    <w:rsid w:val="002860EF"/>
    <w:rsid w:val="00286691"/>
    <w:rsid w:val="00286D81"/>
    <w:rsid w:val="002903EF"/>
    <w:rsid w:val="0029173B"/>
    <w:rsid w:val="00291E87"/>
    <w:rsid w:val="00293116"/>
    <w:rsid w:val="002933AC"/>
    <w:rsid w:val="00293F02"/>
    <w:rsid w:val="00294078"/>
    <w:rsid w:val="00294C06"/>
    <w:rsid w:val="0029592E"/>
    <w:rsid w:val="00295ABA"/>
    <w:rsid w:val="002A068C"/>
    <w:rsid w:val="002A25C3"/>
    <w:rsid w:val="002A7FBD"/>
    <w:rsid w:val="002B0760"/>
    <w:rsid w:val="002B0D61"/>
    <w:rsid w:val="002B0E43"/>
    <w:rsid w:val="002B346F"/>
    <w:rsid w:val="002B5952"/>
    <w:rsid w:val="002B7D8D"/>
    <w:rsid w:val="002C3E86"/>
    <w:rsid w:val="002C6D83"/>
    <w:rsid w:val="002D09AD"/>
    <w:rsid w:val="002D0BA6"/>
    <w:rsid w:val="002E2CDD"/>
    <w:rsid w:val="002E4791"/>
    <w:rsid w:val="002E6073"/>
    <w:rsid w:val="002F33A1"/>
    <w:rsid w:val="002F4E52"/>
    <w:rsid w:val="00300FDD"/>
    <w:rsid w:val="00301AAD"/>
    <w:rsid w:val="00305635"/>
    <w:rsid w:val="00310700"/>
    <w:rsid w:val="00310D0C"/>
    <w:rsid w:val="0031165D"/>
    <w:rsid w:val="00313495"/>
    <w:rsid w:val="00314984"/>
    <w:rsid w:val="00316770"/>
    <w:rsid w:val="00324EF3"/>
    <w:rsid w:val="00325058"/>
    <w:rsid w:val="00325BB2"/>
    <w:rsid w:val="0033014C"/>
    <w:rsid w:val="003305E1"/>
    <w:rsid w:val="00331890"/>
    <w:rsid w:val="0033579B"/>
    <w:rsid w:val="00335CFE"/>
    <w:rsid w:val="00337157"/>
    <w:rsid w:val="00337677"/>
    <w:rsid w:val="0034100C"/>
    <w:rsid w:val="00342E79"/>
    <w:rsid w:val="00345F3C"/>
    <w:rsid w:val="003479A8"/>
    <w:rsid w:val="00351413"/>
    <w:rsid w:val="0035573F"/>
    <w:rsid w:val="00355A93"/>
    <w:rsid w:val="00355C82"/>
    <w:rsid w:val="0035663E"/>
    <w:rsid w:val="0036010E"/>
    <w:rsid w:val="00360ACF"/>
    <w:rsid w:val="00362414"/>
    <w:rsid w:val="003635C1"/>
    <w:rsid w:val="00374513"/>
    <w:rsid w:val="0038538A"/>
    <w:rsid w:val="0039144B"/>
    <w:rsid w:val="003961B0"/>
    <w:rsid w:val="003A043D"/>
    <w:rsid w:val="003A4057"/>
    <w:rsid w:val="003A7DC0"/>
    <w:rsid w:val="003B5CD9"/>
    <w:rsid w:val="003B6BF5"/>
    <w:rsid w:val="003B7ED7"/>
    <w:rsid w:val="003C1CA6"/>
    <w:rsid w:val="003C3454"/>
    <w:rsid w:val="003D2EAD"/>
    <w:rsid w:val="003D3919"/>
    <w:rsid w:val="003D630F"/>
    <w:rsid w:val="003D76E8"/>
    <w:rsid w:val="003E3685"/>
    <w:rsid w:val="003E4C8B"/>
    <w:rsid w:val="003F031B"/>
    <w:rsid w:val="003F1270"/>
    <w:rsid w:val="003F4397"/>
    <w:rsid w:val="003F485D"/>
    <w:rsid w:val="00400C78"/>
    <w:rsid w:val="00400F47"/>
    <w:rsid w:val="00402253"/>
    <w:rsid w:val="00402F72"/>
    <w:rsid w:val="00404905"/>
    <w:rsid w:val="00404B21"/>
    <w:rsid w:val="004062D4"/>
    <w:rsid w:val="004062D7"/>
    <w:rsid w:val="0041125E"/>
    <w:rsid w:val="00411CB2"/>
    <w:rsid w:val="004151AA"/>
    <w:rsid w:val="00420E31"/>
    <w:rsid w:val="00432FB1"/>
    <w:rsid w:val="004359BE"/>
    <w:rsid w:val="0043685A"/>
    <w:rsid w:val="00436A01"/>
    <w:rsid w:val="0043720C"/>
    <w:rsid w:val="004378DD"/>
    <w:rsid w:val="00441E4E"/>
    <w:rsid w:val="004421EC"/>
    <w:rsid w:val="00442503"/>
    <w:rsid w:val="004431E3"/>
    <w:rsid w:val="00453487"/>
    <w:rsid w:val="00453AB1"/>
    <w:rsid w:val="004630EE"/>
    <w:rsid w:val="00470155"/>
    <w:rsid w:val="00470932"/>
    <w:rsid w:val="00472D49"/>
    <w:rsid w:val="004741A0"/>
    <w:rsid w:val="00474B72"/>
    <w:rsid w:val="004779E6"/>
    <w:rsid w:val="00484384"/>
    <w:rsid w:val="00485CE1"/>
    <w:rsid w:val="00486DD6"/>
    <w:rsid w:val="00493BE4"/>
    <w:rsid w:val="004968A2"/>
    <w:rsid w:val="004A08F9"/>
    <w:rsid w:val="004A1B73"/>
    <w:rsid w:val="004A3710"/>
    <w:rsid w:val="004A5490"/>
    <w:rsid w:val="004B0792"/>
    <w:rsid w:val="004B7CC7"/>
    <w:rsid w:val="004C3BB2"/>
    <w:rsid w:val="004C6B00"/>
    <w:rsid w:val="004D3BB6"/>
    <w:rsid w:val="004D424D"/>
    <w:rsid w:val="004D670A"/>
    <w:rsid w:val="004D6E3B"/>
    <w:rsid w:val="004D7CB1"/>
    <w:rsid w:val="004E2DA7"/>
    <w:rsid w:val="004F0787"/>
    <w:rsid w:val="004F2902"/>
    <w:rsid w:val="005048B8"/>
    <w:rsid w:val="00511276"/>
    <w:rsid w:val="0052176F"/>
    <w:rsid w:val="00523F03"/>
    <w:rsid w:val="0052406E"/>
    <w:rsid w:val="00525736"/>
    <w:rsid w:val="00530ECB"/>
    <w:rsid w:val="00537B86"/>
    <w:rsid w:val="00540CD6"/>
    <w:rsid w:val="005412D5"/>
    <w:rsid w:val="0054260D"/>
    <w:rsid w:val="00542B3F"/>
    <w:rsid w:val="00544E15"/>
    <w:rsid w:val="00544E2E"/>
    <w:rsid w:val="00546F1A"/>
    <w:rsid w:val="0054707D"/>
    <w:rsid w:val="00547583"/>
    <w:rsid w:val="00552F38"/>
    <w:rsid w:val="00554A12"/>
    <w:rsid w:val="00557A72"/>
    <w:rsid w:val="00560E38"/>
    <w:rsid w:val="0056152B"/>
    <w:rsid w:val="00563B4B"/>
    <w:rsid w:val="005677F0"/>
    <w:rsid w:val="00572BC9"/>
    <w:rsid w:val="00572E10"/>
    <w:rsid w:val="00573183"/>
    <w:rsid w:val="00573B08"/>
    <w:rsid w:val="00574581"/>
    <w:rsid w:val="005746A7"/>
    <w:rsid w:val="00574BF6"/>
    <w:rsid w:val="00580835"/>
    <w:rsid w:val="00582294"/>
    <w:rsid w:val="005826D8"/>
    <w:rsid w:val="00587CE5"/>
    <w:rsid w:val="00591523"/>
    <w:rsid w:val="005942D1"/>
    <w:rsid w:val="0059465E"/>
    <w:rsid w:val="00597C3F"/>
    <w:rsid w:val="005A6649"/>
    <w:rsid w:val="005A7B27"/>
    <w:rsid w:val="005B6AEE"/>
    <w:rsid w:val="005B78D0"/>
    <w:rsid w:val="005D0B35"/>
    <w:rsid w:val="005D2F66"/>
    <w:rsid w:val="005D4819"/>
    <w:rsid w:val="005D4B98"/>
    <w:rsid w:val="005D5CB6"/>
    <w:rsid w:val="005D615E"/>
    <w:rsid w:val="005E1CE3"/>
    <w:rsid w:val="005E267C"/>
    <w:rsid w:val="005E346F"/>
    <w:rsid w:val="005E42AE"/>
    <w:rsid w:val="005E4CCA"/>
    <w:rsid w:val="005F23AF"/>
    <w:rsid w:val="005F2E80"/>
    <w:rsid w:val="005F5903"/>
    <w:rsid w:val="006010C0"/>
    <w:rsid w:val="006055AA"/>
    <w:rsid w:val="006055E4"/>
    <w:rsid w:val="006179CC"/>
    <w:rsid w:val="00630E4B"/>
    <w:rsid w:val="006321B7"/>
    <w:rsid w:val="00636209"/>
    <w:rsid w:val="00642238"/>
    <w:rsid w:val="006508FB"/>
    <w:rsid w:val="00651B6A"/>
    <w:rsid w:val="00654F08"/>
    <w:rsid w:val="00656959"/>
    <w:rsid w:val="006626EF"/>
    <w:rsid w:val="00663EAB"/>
    <w:rsid w:val="0066419D"/>
    <w:rsid w:val="006654F7"/>
    <w:rsid w:val="00665897"/>
    <w:rsid w:val="00665F6C"/>
    <w:rsid w:val="00667E93"/>
    <w:rsid w:val="0067580A"/>
    <w:rsid w:val="00676C80"/>
    <w:rsid w:val="006818C9"/>
    <w:rsid w:val="00686656"/>
    <w:rsid w:val="00695B00"/>
    <w:rsid w:val="00697E94"/>
    <w:rsid w:val="00697F39"/>
    <w:rsid w:val="006A0655"/>
    <w:rsid w:val="006A215E"/>
    <w:rsid w:val="006A5798"/>
    <w:rsid w:val="006B03C1"/>
    <w:rsid w:val="006B26B8"/>
    <w:rsid w:val="006B3266"/>
    <w:rsid w:val="006B4B61"/>
    <w:rsid w:val="006C37FE"/>
    <w:rsid w:val="006C60D4"/>
    <w:rsid w:val="006C689F"/>
    <w:rsid w:val="006C7358"/>
    <w:rsid w:val="006C787B"/>
    <w:rsid w:val="006D0B30"/>
    <w:rsid w:val="006D23D0"/>
    <w:rsid w:val="006D3F3D"/>
    <w:rsid w:val="006D4414"/>
    <w:rsid w:val="006D4DA1"/>
    <w:rsid w:val="006E3A19"/>
    <w:rsid w:val="006E522C"/>
    <w:rsid w:val="006F0113"/>
    <w:rsid w:val="006F3102"/>
    <w:rsid w:val="006F31A4"/>
    <w:rsid w:val="006F33DF"/>
    <w:rsid w:val="006F453C"/>
    <w:rsid w:val="006F7EF9"/>
    <w:rsid w:val="007000D8"/>
    <w:rsid w:val="0070111F"/>
    <w:rsid w:val="00701A4E"/>
    <w:rsid w:val="00702E0E"/>
    <w:rsid w:val="00703107"/>
    <w:rsid w:val="00705D12"/>
    <w:rsid w:val="007074CD"/>
    <w:rsid w:val="00712E11"/>
    <w:rsid w:val="00720495"/>
    <w:rsid w:val="007275DF"/>
    <w:rsid w:val="007313BC"/>
    <w:rsid w:val="0073191D"/>
    <w:rsid w:val="00732220"/>
    <w:rsid w:val="00732EBB"/>
    <w:rsid w:val="00735862"/>
    <w:rsid w:val="007458C0"/>
    <w:rsid w:val="00753BF1"/>
    <w:rsid w:val="00753EF1"/>
    <w:rsid w:val="007556E3"/>
    <w:rsid w:val="007576A3"/>
    <w:rsid w:val="007608CF"/>
    <w:rsid w:val="00760CDB"/>
    <w:rsid w:val="00761787"/>
    <w:rsid w:val="00762954"/>
    <w:rsid w:val="00762CC6"/>
    <w:rsid w:val="00765EFC"/>
    <w:rsid w:val="007667B2"/>
    <w:rsid w:val="00767634"/>
    <w:rsid w:val="007764C0"/>
    <w:rsid w:val="0078245C"/>
    <w:rsid w:val="007862E0"/>
    <w:rsid w:val="0078632B"/>
    <w:rsid w:val="00786FAB"/>
    <w:rsid w:val="00787685"/>
    <w:rsid w:val="0079049E"/>
    <w:rsid w:val="00795A60"/>
    <w:rsid w:val="00796013"/>
    <w:rsid w:val="00797F34"/>
    <w:rsid w:val="007A0A74"/>
    <w:rsid w:val="007A3906"/>
    <w:rsid w:val="007A4DCA"/>
    <w:rsid w:val="007A5A55"/>
    <w:rsid w:val="007A7017"/>
    <w:rsid w:val="007B1CAA"/>
    <w:rsid w:val="007B36C4"/>
    <w:rsid w:val="007C3902"/>
    <w:rsid w:val="007C659E"/>
    <w:rsid w:val="007C773F"/>
    <w:rsid w:val="007D5AA2"/>
    <w:rsid w:val="007E0809"/>
    <w:rsid w:val="007E1829"/>
    <w:rsid w:val="007E23A9"/>
    <w:rsid w:val="007E3E59"/>
    <w:rsid w:val="007E6D3C"/>
    <w:rsid w:val="007F12E4"/>
    <w:rsid w:val="007F33A7"/>
    <w:rsid w:val="007F33DE"/>
    <w:rsid w:val="007F346E"/>
    <w:rsid w:val="007F37E4"/>
    <w:rsid w:val="007F40F6"/>
    <w:rsid w:val="007F4FC5"/>
    <w:rsid w:val="007F50B8"/>
    <w:rsid w:val="007F6920"/>
    <w:rsid w:val="007F79EB"/>
    <w:rsid w:val="00802AF7"/>
    <w:rsid w:val="00806909"/>
    <w:rsid w:val="00806F0F"/>
    <w:rsid w:val="00806F5F"/>
    <w:rsid w:val="00816BF1"/>
    <w:rsid w:val="00817DC5"/>
    <w:rsid w:val="00820BD9"/>
    <w:rsid w:val="0082492A"/>
    <w:rsid w:val="00825852"/>
    <w:rsid w:val="0082683A"/>
    <w:rsid w:val="00827444"/>
    <w:rsid w:val="00831C8D"/>
    <w:rsid w:val="00833E4B"/>
    <w:rsid w:val="008408FD"/>
    <w:rsid w:val="008412AF"/>
    <w:rsid w:val="008413FB"/>
    <w:rsid w:val="00841F06"/>
    <w:rsid w:val="00842F95"/>
    <w:rsid w:val="00845047"/>
    <w:rsid w:val="00845A2F"/>
    <w:rsid w:val="00846DA4"/>
    <w:rsid w:val="00850E7D"/>
    <w:rsid w:val="00860959"/>
    <w:rsid w:val="0086155A"/>
    <w:rsid w:val="0086208E"/>
    <w:rsid w:val="00867EFE"/>
    <w:rsid w:val="008707E3"/>
    <w:rsid w:val="008713B1"/>
    <w:rsid w:val="00874DC7"/>
    <w:rsid w:val="00875F30"/>
    <w:rsid w:val="008774CC"/>
    <w:rsid w:val="00880019"/>
    <w:rsid w:val="00880FE1"/>
    <w:rsid w:val="00881009"/>
    <w:rsid w:val="00882112"/>
    <w:rsid w:val="00882FE9"/>
    <w:rsid w:val="00895112"/>
    <w:rsid w:val="00895E20"/>
    <w:rsid w:val="00896E79"/>
    <w:rsid w:val="008A33B7"/>
    <w:rsid w:val="008A45E7"/>
    <w:rsid w:val="008A5DAF"/>
    <w:rsid w:val="008A7B2B"/>
    <w:rsid w:val="008B1CDB"/>
    <w:rsid w:val="008B3024"/>
    <w:rsid w:val="008B3CBD"/>
    <w:rsid w:val="008B4923"/>
    <w:rsid w:val="008B4993"/>
    <w:rsid w:val="008B54DF"/>
    <w:rsid w:val="008B5EF6"/>
    <w:rsid w:val="008B6594"/>
    <w:rsid w:val="008B663B"/>
    <w:rsid w:val="008B6D77"/>
    <w:rsid w:val="008B737D"/>
    <w:rsid w:val="008B7904"/>
    <w:rsid w:val="008C415E"/>
    <w:rsid w:val="008C71D6"/>
    <w:rsid w:val="008C754E"/>
    <w:rsid w:val="008C7619"/>
    <w:rsid w:val="008C7AB3"/>
    <w:rsid w:val="008C7DC7"/>
    <w:rsid w:val="008D0BDA"/>
    <w:rsid w:val="008D1CC2"/>
    <w:rsid w:val="008D1D9D"/>
    <w:rsid w:val="008D4C70"/>
    <w:rsid w:val="008E1128"/>
    <w:rsid w:val="008E4F94"/>
    <w:rsid w:val="008E76A8"/>
    <w:rsid w:val="008F54BE"/>
    <w:rsid w:val="008F56A9"/>
    <w:rsid w:val="008F7334"/>
    <w:rsid w:val="008F7577"/>
    <w:rsid w:val="009030B4"/>
    <w:rsid w:val="00911B73"/>
    <w:rsid w:val="0091264D"/>
    <w:rsid w:val="00924980"/>
    <w:rsid w:val="00925CCF"/>
    <w:rsid w:val="00932DDF"/>
    <w:rsid w:val="0093344F"/>
    <w:rsid w:val="00934FA6"/>
    <w:rsid w:val="009357A0"/>
    <w:rsid w:val="00935DD1"/>
    <w:rsid w:val="00937DEA"/>
    <w:rsid w:val="00942A62"/>
    <w:rsid w:val="009438A6"/>
    <w:rsid w:val="00943DE6"/>
    <w:rsid w:val="00946A92"/>
    <w:rsid w:val="00951851"/>
    <w:rsid w:val="00951FAC"/>
    <w:rsid w:val="00952C6B"/>
    <w:rsid w:val="00955D49"/>
    <w:rsid w:val="0095603D"/>
    <w:rsid w:val="00957B8B"/>
    <w:rsid w:val="00961005"/>
    <w:rsid w:val="00962CB1"/>
    <w:rsid w:val="009637C2"/>
    <w:rsid w:val="009659F2"/>
    <w:rsid w:val="0097131C"/>
    <w:rsid w:val="009714BF"/>
    <w:rsid w:val="00971502"/>
    <w:rsid w:val="009747A7"/>
    <w:rsid w:val="00974F9F"/>
    <w:rsid w:val="00975580"/>
    <w:rsid w:val="00980770"/>
    <w:rsid w:val="00982ABC"/>
    <w:rsid w:val="0098536E"/>
    <w:rsid w:val="0098782B"/>
    <w:rsid w:val="00991BEA"/>
    <w:rsid w:val="0099591F"/>
    <w:rsid w:val="00995968"/>
    <w:rsid w:val="009A19EE"/>
    <w:rsid w:val="009A1E9A"/>
    <w:rsid w:val="009A4B15"/>
    <w:rsid w:val="009A6353"/>
    <w:rsid w:val="009B0ABF"/>
    <w:rsid w:val="009B19DD"/>
    <w:rsid w:val="009B2CE1"/>
    <w:rsid w:val="009B53A8"/>
    <w:rsid w:val="009B5834"/>
    <w:rsid w:val="009B642F"/>
    <w:rsid w:val="009B64A9"/>
    <w:rsid w:val="009C1483"/>
    <w:rsid w:val="009C2D85"/>
    <w:rsid w:val="009C4213"/>
    <w:rsid w:val="009C5EB2"/>
    <w:rsid w:val="009C71CE"/>
    <w:rsid w:val="009D2DC3"/>
    <w:rsid w:val="009D3425"/>
    <w:rsid w:val="009D7683"/>
    <w:rsid w:val="009E28D0"/>
    <w:rsid w:val="009E4B07"/>
    <w:rsid w:val="009E4C5B"/>
    <w:rsid w:val="009E51F4"/>
    <w:rsid w:val="009F1260"/>
    <w:rsid w:val="009F1BC8"/>
    <w:rsid w:val="009F37C6"/>
    <w:rsid w:val="00A017D5"/>
    <w:rsid w:val="00A02866"/>
    <w:rsid w:val="00A04418"/>
    <w:rsid w:val="00A044FC"/>
    <w:rsid w:val="00A104EC"/>
    <w:rsid w:val="00A118AD"/>
    <w:rsid w:val="00A1303E"/>
    <w:rsid w:val="00A21B85"/>
    <w:rsid w:val="00A269FB"/>
    <w:rsid w:val="00A31993"/>
    <w:rsid w:val="00A36A67"/>
    <w:rsid w:val="00A437F9"/>
    <w:rsid w:val="00A46AB4"/>
    <w:rsid w:val="00A50087"/>
    <w:rsid w:val="00A50DB8"/>
    <w:rsid w:val="00A53064"/>
    <w:rsid w:val="00A63E21"/>
    <w:rsid w:val="00A64087"/>
    <w:rsid w:val="00A660C6"/>
    <w:rsid w:val="00A70354"/>
    <w:rsid w:val="00A73160"/>
    <w:rsid w:val="00A7468D"/>
    <w:rsid w:val="00A827F9"/>
    <w:rsid w:val="00A846AC"/>
    <w:rsid w:val="00A84747"/>
    <w:rsid w:val="00A8765A"/>
    <w:rsid w:val="00A94E5C"/>
    <w:rsid w:val="00A97948"/>
    <w:rsid w:val="00AA3E79"/>
    <w:rsid w:val="00AA46F2"/>
    <w:rsid w:val="00AA5B49"/>
    <w:rsid w:val="00AA78A2"/>
    <w:rsid w:val="00AB3301"/>
    <w:rsid w:val="00AB5316"/>
    <w:rsid w:val="00AB5710"/>
    <w:rsid w:val="00AB635C"/>
    <w:rsid w:val="00AC0427"/>
    <w:rsid w:val="00AC1CC4"/>
    <w:rsid w:val="00AC2D6F"/>
    <w:rsid w:val="00AC3D93"/>
    <w:rsid w:val="00AC5419"/>
    <w:rsid w:val="00AD0B78"/>
    <w:rsid w:val="00AE00E3"/>
    <w:rsid w:val="00AE081F"/>
    <w:rsid w:val="00AE3E3B"/>
    <w:rsid w:val="00AE74B1"/>
    <w:rsid w:val="00AF0148"/>
    <w:rsid w:val="00AF1DF5"/>
    <w:rsid w:val="00AF2ABD"/>
    <w:rsid w:val="00B05192"/>
    <w:rsid w:val="00B06192"/>
    <w:rsid w:val="00B12660"/>
    <w:rsid w:val="00B13E47"/>
    <w:rsid w:val="00B17013"/>
    <w:rsid w:val="00B23491"/>
    <w:rsid w:val="00B304CD"/>
    <w:rsid w:val="00B346A1"/>
    <w:rsid w:val="00B37478"/>
    <w:rsid w:val="00B42E7C"/>
    <w:rsid w:val="00B43B7F"/>
    <w:rsid w:val="00B44470"/>
    <w:rsid w:val="00B537EE"/>
    <w:rsid w:val="00B55C65"/>
    <w:rsid w:val="00B61C4C"/>
    <w:rsid w:val="00B62F9B"/>
    <w:rsid w:val="00B639AE"/>
    <w:rsid w:val="00B73471"/>
    <w:rsid w:val="00B73BD1"/>
    <w:rsid w:val="00B7701B"/>
    <w:rsid w:val="00B77107"/>
    <w:rsid w:val="00B810DE"/>
    <w:rsid w:val="00B83722"/>
    <w:rsid w:val="00B83AC1"/>
    <w:rsid w:val="00B843E0"/>
    <w:rsid w:val="00B86632"/>
    <w:rsid w:val="00B919BE"/>
    <w:rsid w:val="00B93953"/>
    <w:rsid w:val="00B948CF"/>
    <w:rsid w:val="00B9500B"/>
    <w:rsid w:val="00B956D8"/>
    <w:rsid w:val="00B96A69"/>
    <w:rsid w:val="00B9720A"/>
    <w:rsid w:val="00B97C3E"/>
    <w:rsid w:val="00B97FF7"/>
    <w:rsid w:val="00BA06A6"/>
    <w:rsid w:val="00BA2610"/>
    <w:rsid w:val="00BB263B"/>
    <w:rsid w:val="00BB26AB"/>
    <w:rsid w:val="00BB3D0F"/>
    <w:rsid w:val="00BB4CE4"/>
    <w:rsid w:val="00BB7D29"/>
    <w:rsid w:val="00BC127B"/>
    <w:rsid w:val="00BC414D"/>
    <w:rsid w:val="00BC7BA6"/>
    <w:rsid w:val="00BD2006"/>
    <w:rsid w:val="00BD27A6"/>
    <w:rsid w:val="00BD4679"/>
    <w:rsid w:val="00BD5E58"/>
    <w:rsid w:val="00BD6FF7"/>
    <w:rsid w:val="00BE00C5"/>
    <w:rsid w:val="00BE0920"/>
    <w:rsid w:val="00BE621B"/>
    <w:rsid w:val="00BE6406"/>
    <w:rsid w:val="00BE6886"/>
    <w:rsid w:val="00BE6CED"/>
    <w:rsid w:val="00BF14CE"/>
    <w:rsid w:val="00BF30FD"/>
    <w:rsid w:val="00BF4E2D"/>
    <w:rsid w:val="00BF595D"/>
    <w:rsid w:val="00BF7D07"/>
    <w:rsid w:val="00C02577"/>
    <w:rsid w:val="00C038AC"/>
    <w:rsid w:val="00C11FE6"/>
    <w:rsid w:val="00C142AB"/>
    <w:rsid w:val="00C145C0"/>
    <w:rsid w:val="00C166B0"/>
    <w:rsid w:val="00C177D5"/>
    <w:rsid w:val="00C20279"/>
    <w:rsid w:val="00C22CF1"/>
    <w:rsid w:val="00C2342B"/>
    <w:rsid w:val="00C268AC"/>
    <w:rsid w:val="00C2698E"/>
    <w:rsid w:val="00C30987"/>
    <w:rsid w:val="00C3195D"/>
    <w:rsid w:val="00C35DC0"/>
    <w:rsid w:val="00C37151"/>
    <w:rsid w:val="00C37344"/>
    <w:rsid w:val="00C37636"/>
    <w:rsid w:val="00C42105"/>
    <w:rsid w:val="00C51F25"/>
    <w:rsid w:val="00C52A03"/>
    <w:rsid w:val="00C55F17"/>
    <w:rsid w:val="00C56A82"/>
    <w:rsid w:val="00C61AF1"/>
    <w:rsid w:val="00C627FB"/>
    <w:rsid w:val="00C7493E"/>
    <w:rsid w:val="00C76A97"/>
    <w:rsid w:val="00C848A7"/>
    <w:rsid w:val="00C86661"/>
    <w:rsid w:val="00C95F7D"/>
    <w:rsid w:val="00CA06AF"/>
    <w:rsid w:val="00CA0851"/>
    <w:rsid w:val="00CA1546"/>
    <w:rsid w:val="00CB05C5"/>
    <w:rsid w:val="00CC0311"/>
    <w:rsid w:val="00CC121C"/>
    <w:rsid w:val="00CC5DA9"/>
    <w:rsid w:val="00CC7B88"/>
    <w:rsid w:val="00CD0434"/>
    <w:rsid w:val="00CD1798"/>
    <w:rsid w:val="00CD26E9"/>
    <w:rsid w:val="00CD3A47"/>
    <w:rsid w:val="00CD4871"/>
    <w:rsid w:val="00CD5531"/>
    <w:rsid w:val="00CE301F"/>
    <w:rsid w:val="00CE67B4"/>
    <w:rsid w:val="00CE7107"/>
    <w:rsid w:val="00CF0F23"/>
    <w:rsid w:val="00CF10C9"/>
    <w:rsid w:val="00CF4A8B"/>
    <w:rsid w:val="00CF552F"/>
    <w:rsid w:val="00D020D8"/>
    <w:rsid w:val="00D025AF"/>
    <w:rsid w:val="00D068C3"/>
    <w:rsid w:val="00D06CFC"/>
    <w:rsid w:val="00D108F0"/>
    <w:rsid w:val="00D1140C"/>
    <w:rsid w:val="00D114F3"/>
    <w:rsid w:val="00D1245A"/>
    <w:rsid w:val="00D17AAB"/>
    <w:rsid w:val="00D203E7"/>
    <w:rsid w:val="00D2670F"/>
    <w:rsid w:val="00D40E8E"/>
    <w:rsid w:val="00D46EDF"/>
    <w:rsid w:val="00D47747"/>
    <w:rsid w:val="00D47791"/>
    <w:rsid w:val="00D47DA5"/>
    <w:rsid w:val="00D53B44"/>
    <w:rsid w:val="00D54E51"/>
    <w:rsid w:val="00D56465"/>
    <w:rsid w:val="00D56995"/>
    <w:rsid w:val="00D56B5D"/>
    <w:rsid w:val="00D61976"/>
    <w:rsid w:val="00D65D9C"/>
    <w:rsid w:val="00D67635"/>
    <w:rsid w:val="00D73E9F"/>
    <w:rsid w:val="00D80B19"/>
    <w:rsid w:val="00D8104F"/>
    <w:rsid w:val="00D8598D"/>
    <w:rsid w:val="00D86328"/>
    <w:rsid w:val="00D92EC8"/>
    <w:rsid w:val="00D93246"/>
    <w:rsid w:val="00D944BA"/>
    <w:rsid w:val="00D96BD0"/>
    <w:rsid w:val="00D97D24"/>
    <w:rsid w:val="00DA2A3C"/>
    <w:rsid w:val="00DA491F"/>
    <w:rsid w:val="00DA6876"/>
    <w:rsid w:val="00DA69AF"/>
    <w:rsid w:val="00DA7DD7"/>
    <w:rsid w:val="00DB176F"/>
    <w:rsid w:val="00DB2CD6"/>
    <w:rsid w:val="00DB725B"/>
    <w:rsid w:val="00DB789D"/>
    <w:rsid w:val="00DC0F0B"/>
    <w:rsid w:val="00DC16F6"/>
    <w:rsid w:val="00DC47D7"/>
    <w:rsid w:val="00DC70E7"/>
    <w:rsid w:val="00DD1A28"/>
    <w:rsid w:val="00DD4A54"/>
    <w:rsid w:val="00DD4F42"/>
    <w:rsid w:val="00DD5B62"/>
    <w:rsid w:val="00DD68E8"/>
    <w:rsid w:val="00DE35D1"/>
    <w:rsid w:val="00DE48E7"/>
    <w:rsid w:val="00DE740A"/>
    <w:rsid w:val="00DF1C88"/>
    <w:rsid w:val="00DF20F7"/>
    <w:rsid w:val="00DF4428"/>
    <w:rsid w:val="00DF4518"/>
    <w:rsid w:val="00E01F5C"/>
    <w:rsid w:val="00E03771"/>
    <w:rsid w:val="00E0474C"/>
    <w:rsid w:val="00E072B7"/>
    <w:rsid w:val="00E14C81"/>
    <w:rsid w:val="00E21EBE"/>
    <w:rsid w:val="00E25193"/>
    <w:rsid w:val="00E26B36"/>
    <w:rsid w:val="00E27521"/>
    <w:rsid w:val="00E338B1"/>
    <w:rsid w:val="00E33A2B"/>
    <w:rsid w:val="00E36B25"/>
    <w:rsid w:val="00E37D9A"/>
    <w:rsid w:val="00E4199D"/>
    <w:rsid w:val="00E41AE9"/>
    <w:rsid w:val="00E41C0D"/>
    <w:rsid w:val="00E4423F"/>
    <w:rsid w:val="00E444AF"/>
    <w:rsid w:val="00E448B5"/>
    <w:rsid w:val="00E44CAC"/>
    <w:rsid w:val="00E46CC3"/>
    <w:rsid w:val="00E51DFC"/>
    <w:rsid w:val="00E55C7D"/>
    <w:rsid w:val="00E62319"/>
    <w:rsid w:val="00E6487D"/>
    <w:rsid w:val="00E657E3"/>
    <w:rsid w:val="00E66218"/>
    <w:rsid w:val="00E72FC9"/>
    <w:rsid w:val="00E73859"/>
    <w:rsid w:val="00E7521A"/>
    <w:rsid w:val="00E7749F"/>
    <w:rsid w:val="00E8452A"/>
    <w:rsid w:val="00E860DD"/>
    <w:rsid w:val="00E928F9"/>
    <w:rsid w:val="00EA6059"/>
    <w:rsid w:val="00EA6202"/>
    <w:rsid w:val="00EA6475"/>
    <w:rsid w:val="00EB58F6"/>
    <w:rsid w:val="00EB7BAC"/>
    <w:rsid w:val="00EC3C9A"/>
    <w:rsid w:val="00EC48A1"/>
    <w:rsid w:val="00EC5361"/>
    <w:rsid w:val="00EC5420"/>
    <w:rsid w:val="00ED2C30"/>
    <w:rsid w:val="00ED40F7"/>
    <w:rsid w:val="00ED4EB6"/>
    <w:rsid w:val="00ED5ABC"/>
    <w:rsid w:val="00ED6EF1"/>
    <w:rsid w:val="00EE1269"/>
    <w:rsid w:val="00EE193E"/>
    <w:rsid w:val="00EE5981"/>
    <w:rsid w:val="00EE75F7"/>
    <w:rsid w:val="00EF1240"/>
    <w:rsid w:val="00EF20F3"/>
    <w:rsid w:val="00EF25A9"/>
    <w:rsid w:val="00EF3A62"/>
    <w:rsid w:val="00EF3D39"/>
    <w:rsid w:val="00EF47A7"/>
    <w:rsid w:val="00EF4EC0"/>
    <w:rsid w:val="00EF7E02"/>
    <w:rsid w:val="00F05317"/>
    <w:rsid w:val="00F06AA8"/>
    <w:rsid w:val="00F11134"/>
    <w:rsid w:val="00F11146"/>
    <w:rsid w:val="00F22CE5"/>
    <w:rsid w:val="00F25274"/>
    <w:rsid w:val="00F30D97"/>
    <w:rsid w:val="00F324DF"/>
    <w:rsid w:val="00F3620E"/>
    <w:rsid w:val="00F3759E"/>
    <w:rsid w:val="00F37714"/>
    <w:rsid w:val="00F37A5A"/>
    <w:rsid w:val="00F4328C"/>
    <w:rsid w:val="00F43F0D"/>
    <w:rsid w:val="00F476DA"/>
    <w:rsid w:val="00F51DE2"/>
    <w:rsid w:val="00F51F76"/>
    <w:rsid w:val="00F529AA"/>
    <w:rsid w:val="00F52B16"/>
    <w:rsid w:val="00F53EC3"/>
    <w:rsid w:val="00F54FEA"/>
    <w:rsid w:val="00F554E8"/>
    <w:rsid w:val="00F575AD"/>
    <w:rsid w:val="00F63D15"/>
    <w:rsid w:val="00F665AB"/>
    <w:rsid w:val="00F667AB"/>
    <w:rsid w:val="00F75558"/>
    <w:rsid w:val="00F7567D"/>
    <w:rsid w:val="00F75C54"/>
    <w:rsid w:val="00F764EC"/>
    <w:rsid w:val="00F76C73"/>
    <w:rsid w:val="00F8063A"/>
    <w:rsid w:val="00F81DD9"/>
    <w:rsid w:val="00F82986"/>
    <w:rsid w:val="00F83661"/>
    <w:rsid w:val="00F87C56"/>
    <w:rsid w:val="00F93739"/>
    <w:rsid w:val="00F9728D"/>
    <w:rsid w:val="00FA6990"/>
    <w:rsid w:val="00FB1AFB"/>
    <w:rsid w:val="00FB1C3A"/>
    <w:rsid w:val="00FB26F7"/>
    <w:rsid w:val="00FB2C1B"/>
    <w:rsid w:val="00FB45E4"/>
    <w:rsid w:val="00FB481D"/>
    <w:rsid w:val="00FB49DD"/>
    <w:rsid w:val="00FC0ADF"/>
    <w:rsid w:val="00FC2951"/>
    <w:rsid w:val="00FC3570"/>
    <w:rsid w:val="00FC6E2A"/>
    <w:rsid w:val="00FD4A22"/>
    <w:rsid w:val="00FD5B62"/>
    <w:rsid w:val="00FE01D9"/>
    <w:rsid w:val="00FE5808"/>
    <w:rsid w:val="00FE699B"/>
    <w:rsid w:val="00FF44DD"/>
    <w:rsid w:val="00FF7504"/>
    <w:rsid w:val="04C70B93"/>
    <w:rsid w:val="05BF54E7"/>
    <w:rsid w:val="08AE06AD"/>
    <w:rsid w:val="09302B22"/>
    <w:rsid w:val="093A12E4"/>
    <w:rsid w:val="0B003157"/>
    <w:rsid w:val="0C667EA6"/>
    <w:rsid w:val="11072A94"/>
    <w:rsid w:val="13FC1FA7"/>
    <w:rsid w:val="156D4658"/>
    <w:rsid w:val="19F1668A"/>
    <w:rsid w:val="1D5D189B"/>
    <w:rsid w:val="1DCD6AB3"/>
    <w:rsid w:val="219A5FA9"/>
    <w:rsid w:val="23E0478E"/>
    <w:rsid w:val="24C43A2C"/>
    <w:rsid w:val="26C52111"/>
    <w:rsid w:val="27E76110"/>
    <w:rsid w:val="2AB9711D"/>
    <w:rsid w:val="2B2937A5"/>
    <w:rsid w:val="2DEF26D6"/>
    <w:rsid w:val="35FA38AD"/>
    <w:rsid w:val="367810B3"/>
    <w:rsid w:val="37E94405"/>
    <w:rsid w:val="3A714E4B"/>
    <w:rsid w:val="3B24224C"/>
    <w:rsid w:val="3B466628"/>
    <w:rsid w:val="3D460945"/>
    <w:rsid w:val="41DB4140"/>
    <w:rsid w:val="452D76AA"/>
    <w:rsid w:val="4E112440"/>
    <w:rsid w:val="4E2D31EF"/>
    <w:rsid w:val="4E6E236A"/>
    <w:rsid w:val="4E985EB2"/>
    <w:rsid w:val="4FC058C6"/>
    <w:rsid w:val="510C5E54"/>
    <w:rsid w:val="51575697"/>
    <w:rsid w:val="52216A9B"/>
    <w:rsid w:val="52427E13"/>
    <w:rsid w:val="547418E3"/>
    <w:rsid w:val="57E71486"/>
    <w:rsid w:val="59943EF2"/>
    <w:rsid w:val="5A1C03AD"/>
    <w:rsid w:val="5ADE61AD"/>
    <w:rsid w:val="5B9A25B0"/>
    <w:rsid w:val="5C82428E"/>
    <w:rsid w:val="5F251B4F"/>
    <w:rsid w:val="60E44589"/>
    <w:rsid w:val="614B680F"/>
    <w:rsid w:val="62A74B7D"/>
    <w:rsid w:val="66C467C4"/>
    <w:rsid w:val="6BCA7704"/>
    <w:rsid w:val="6C2F5391"/>
    <w:rsid w:val="6FB94521"/>
    <w:rsid w:val="7322493E"/>
    <w:rsid w:val="73FA3EA6"/>
    <w:rsid w:val="794719E5"/>
    <w:rsid w:val="7F083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autoRedefine/>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autoRedefine/>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8">
    <w:name w:val="List 3"/>
    <w:basedOn w:val="1"/>
    <w:autoRedefine/>
    <w:qFormat/>
    <w:uiPriority w:val="99"/>
    <w:pPr>
      <w:ind w:left="1260" w:hanging="420"/>
    </w:pPr>
    <w:rPr>
      <w:szCs w:val="20"/>
    </w:rPr>
  </w:style>
  <w:style w:type="paragraph" w:styleId="9">
    <w:name w:val="caption"/>
    <w:basedOn w:val="1"/>
    <w:next w:val="1"/>
    <w:autoRedefine/>
    <w:qFormat/>
    <w:uiPriority w:val="0"/>
    <w:rPr>
      <w:rFonts w:ascii="Arial" w:hAnsi="Arial" w:eastAsia="黑体" w:cs="Arial"/>
      <w:sz w:val="20"/>
      <w:szCs w:val="20"/>
    </w:rPr>
  </w:style>
  <w:style w:type="paragraph" w:styleId="10">
    <w:name w:val="Document Map"/>
    <w:basedOn w:val="1"/>
    <w:autoRedefine/>
    <w:qFormat/>
    <w:uiPriority w:val="0"/>
    <w:pPr>
      <w:shd w:val="clear" w:color="auto" w:fill="000080"/>
    </w:pPr>
    <w:rPr>
      <w:rFonts w:ascii="Cambria" w:hAnsi="Cambria"/>
      <w:sz w:val="24"/>
      <w:szCs w:val="24"/>
    </w:rPr>
  </w:style>
  <w:style w:type="paragraph" w:styleId="11">
    <w:name w:val="annotation text"/>
    <w:basedOn w:val="1"/>
    <w:link w:val="37"/>
    <w:autoRedefine/>
    <w:unhideWhenUsed/>
    <w:qFormat/>
    <w:uiPriority w:val="99"/>
    <w:pPr>
      <w:jc w:val="left"/>
    </w:pPr>
  </w:style>
  <w:style w:type="paragraph" w:styleId="12">
    <w:name w:val="Body Text 3"/>
    <w:basedOn w:val="1"/>
    <w:link w:val="47"/>
    <w:autoRedefine/>
    <w:unhideWhenUsed/>
    <w:qFormat/>
    <w:uiPriority w:val="99"/>
    <w:pPr>
      <w:spacing w:after="120"/>
    </w:pPr>
    <w:rPr>
      <w:sz w:val="16"/>
      <w:szCs w:val="16"/>
    </w:rPr>
  </w:style>
  <w:style w:type="paragraph" w:styleId="13">
    <w:name w:val="Body Text"/>
    <w:basedOn w:val="1"/>
    <w:autoRedefine/>
    <w:qFormat/>
    <w:uiPriority w:val="1"/>
    <w:rPr>
      <w:rFonts w:ascii="黑体" w:hAnsi="黑体" w:eastAsia="黑体" w:cs="黑体"/>
      <w:szCs w:val="21"/>
      <w:lang w:val="zh-CN" w:bidi="zh-CN"/>
    </w:rPr>
  </w:style>
  <w:style w:type="paragraph" w:styleId="14">
    <w:name w:val="Body Text Indent"/>
    <w:basedOn w:val="1"/>
    <w:autoRedefine/>
    <w:qFormat/>
    <w:uiPriority w:val="0"/>
    <w:pPr>
      <w:spacing w:after="120"/>
      <w:ind w:left="420" w:leftChars="200"/>
    </w:pPr>
    <w:rPr>
      <w:rFonts w:eastAsia="Times New Roman"/>
      <w:kern w:val="0"/>
      <w:sz w:val="20"/>
      <w:szCs w:val="21"/>
    </w:rPr>
  </w:style>
  <w:style w:type="paragraph" w:styleId="15">
    <w:name w:val="toc 3"/>
    <w:basedOn w:val="1"/>
    <w:next w:val="1"/>
    <w:autoRedefine/>
    <w:unhideWhenUsed/>
    <w:qFormat/>
    <w:uiPriority w:val="39"/>
    <w:pPr>
      <w:ind w:left="840" w:leftChars="400"/>
    </w:pPr>
  </w:style>
  <w:style w:type="paragraph" w:styleId="16">
    <w:name w:val="Plain Text"/>
    <w:basedOn w:val="1"/>
    <w:link w:val="44"/>
    <w:autoRedefine/>
    <w:qFormat/>
    <w:uiPriority w:val="0"/>
    <w:rPr>
      <w:rFonts w:ascii="宋体" w:hAnsi="Courier New"/>
      <w:sz w:val="24"/>
      <w:szCs w:val="20"/>
    </w:rPr>
  </w:style>
  <w:style w:type="paragraph" w:styleId="17">
    <w:name w:val="Date"/>
    <w:basedOn w:val="1"/>
    <w:next w:val="1"/>
    <w:link w:val="40"/>
    <w:autoRedefine/>
    <w:unhideWhenUsed/>
    <w:qFormat/>
    <w:uiPriority w:val="99"/>
    <w:pPr>
      <w:ind w:left="100" w:leftChars="2500"/>
    </w:pPr>
  </w:style>
  <w:style w:type="paragraph" w:styleId="18">
    <w:name w:val="Balloon Text"/>
    <w:basedOn w:val="1"/>
    <w:link w:val="36"/>
    <w:autoRedefine/>
    <w:unhideWhenUsed/>
    <w:qFormat/>
    <w:uiPriority w:val="99"/>
    <w:rPr>
      <w:sz w:val="18"/>
      <w:szCs w:val="18"/>
    </w:rPr>
  </w:style>
  <w:style w:type="paragraph" w:styleId="19">
    <w:name w:val="footer"/>
    <w:basedOn w:val="1"/>
    <w:link w:val="42"/>
    <w:autoRedefine/>
    <w:unhideWhenUsed/>
    <w:qFormat/>
    <w:uiPriority w:val="0"/>
    <w:pPr>
      <w:tabs>
        <w:tab w:val="center" w:pos="4153"/>
        <w:tab w:val="right" w:pos="8306"/>
      </w:tabs>
      <w:snapToGrid w:val="0"/>
      <w:jc w:val="left"/>
    </w:pPr>
    <w:rPr>
      <w:sz w:val="18"/>
      <w:szCs w:val="18"/>
    </w:rPr>
  </w:style>
  <w:style w:type="paragraph" w:styleId="20">
    <w:name w:val="header"/>
    <w:basedOn w:val="1"/>
    <w:link w:val="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List"/>
    <w:basedOn w:val="1"/>
    <w:autoRedefine/>
    <w:semiHidden/>
    <w:unhideWhenUsed/>
    <w:qFormat/>
    <w:uiPriority w:val="99"/>
    <w:pPr>
      <w:ind w:left="200" w:hanging="200" w:hangingChars="200"/>
      <w:contextualSpacing/>
    </w:pPr>
  </w:style>
  <w:style w:type="paragraph" w:styleId="23">
    <w:name w:val="toc 2"/>
    <w:basedOn w:val="1"/>
    <w:next w:val="1"/>
    <w:autoRedefine/>
    <w:unhideWhenUsed/>
    <w:qFormat/>
    <w:uiPriority w:val="39"/>
    <w:pPr>
      <w:ind w:left="420" w:leftChars="200"/>
    </w:pPr>
  </w:style>
  <w:style w:type="paragraph" w:styleId="24">
    <w:name w:val="HTML Preformatted"/>
    <w:basedOn w:val="1"/>
    <w:link w:val="163"/>
    <w:autoRedefine/>
    <w:unhideWhenUsed/>
    <w:qFormat/>
    <w:uiPriority w:val="99"/>
    <w:pPr>
      <w:widowControl/>
      <w:shd w:val="clear" w:color="auto" w:fill="FFFFFF"/>
      <w:tabs>
        <w:tab w:val="left" w:pos="916"/>
        <w:tab w:val="left" w:pos="1832"/>
        <w:tab w:val="left" w:pos="2748"/>
        <w:tab w:val="left" w:pos="3664"/>
        <w:tab w:val="left" w:pos="4580"/>
        <w:tab w:val="left" w:pos="5496"/>
        <w:tab w:val="left" w:pos="6412"/>
        <w:tab w:val="left" w:pos="7328"/>
        <w:tab w:val="left" w:pos="8080"/>
        <w:tab w:val="left" w:pos="8244"/>
        <w:tab w:val="left" w:pos="9160"/>
        <w:tab w:val="left" w:pos="10076"/>
        <w:tab w:val="left" w:pos="10992"/>
        <w:tab w:val="left" w:pos="11908"/>
        <w:tab w:val="left" w:pos="12824"/>
        <w:tab w:val="left" w:pos="13740"/>
        <w:tab w:val="left" w:pos="14656"/>
      </w:tabs>
      <w:ind w:left="2408" w:hanging="2408" w:hangingChars="860"/>
      <w:jc w:val="left"/>
    </w:pPr>
    <w:rPr>
      <w:rFonts w:ascii="宋体" w:hAnsi="宋体" w:cs="宋体"/>
      <w:kern w:val="0"/>
      <w:sz w:val="24"/>
      <w:szCs w:val="24"/>
    </w:rPr>
  </w:style>
  <w:style w:type="paragraph" w:styleId="2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autoRedefine/>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9"/>
    <w:autoRedefine/>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autoRedefine/>
    <w:unhideWhenUsed/>
    <w:qFormat/>
    <w:uiPriority w:val="0"/>
    <w:rPr>
      <w:rFonts w:cs="Times New Roman"/>
    </w:rPr>
  </w:style>
  <w:style w:type="character" w:styleId="32">
    <w:name w:val="Hyperlink"/>
    <w:autoRedefine/>
    <w:unhideWhenUsed/>
    <w:qFormat/>
    <w:uiPriority w:val="99"/>
    <w:rPr>
      <w:color w:val="0563C1"/>
      <w:u w:val="single"/>
    </w:rPr>
  </w:style>
  <w:style w:type="character" w:styleId="33">
    <w:name w:val="annotation reference"/>
    <w:autoRedefine/>
    <w:unhideWhenUsed/>
    <w:qFormat/>
    <w:uiPriority w:val="99"/>
    <w:rPr>
      <w:sz w:val="21"/>
      <w:szCs w:val="21"/>
    </w:rPr>
  </w:style>
  <w:style w:type="character" w:customStyle="1" w:styleId="34">
    <w:name w:val="标题 3 Char"/>
    <w:link w:val="5"/>
    <w:autoRedefine/>
    <w:qFormat/>
    <w:locked/>
    <w:uiPriority w:val="0"/>
    <w:rPr>
      <w:rFonts w:ascii="Calibri" w:hAnsi="Calibri" w:eastAsia="仿宋"/>
      <w:b/>
      <w:bCs/>
      <w:kern w:val="2"/>
      <w:sz w:val="32"/>
      <w:szCs w:val="32"/>
      <w:lang w:val="en-US" w:eastAsia="zh-CN" w:bidi="ar-SA"/>
    </w:rPr>
  </w:style>
  <w:style w:type="paragraph" w:customStyle="1" w:styleId="35">
    <w:name w:val="_Style 37"/>
    <w:basedOn w:val="1"/>
    <w:autoRedefine/>
    <w:semiHidden/>
    <w:qFormat/>
    <w:uiPriority w:val="0"/>
    <w:pPr>
      <w:spacing w:line="360" w:lineRule="auto"/>
      <w:ind w:firstLine="200" w:firstLineChars="200"/>
    </w:pPr>
    <w:rPr>
      <w:rFonts w:ascii="宋体" w:hAnsi="宋体" w:cs="宋体"/>
      <w:sz w:val="24"/>
      <w:szCs w:val="24"/>
    </w:rPr>
  </w:style>
  <w:style w:type="character" w:customStyle="1" w:styleId="36">
    <w:name w:val="批注框文本 Char"/>
    <w:link w:val="18"/>
    <w:semiHidden/>
    <w:qFormat/>
    <w:uiPriority w:val="99"/>
    <w:rPr>
      <w:kern w:val="2"/>
      <w:sz w:val="18"/>
      <w:szCs w:val="18"/>
    </w:rPr>
  </w:style>
  <w:style w:type="character" w:customStyle="1" w:styleId="37">
    <w:name w:val="批注文字 Char"/>
    <w:link w:val="11"/>
    <w:autoRedefine/>
    <w:semiHidden/>
    <w:qFormat/>
    <w:uiPriority w:val="99"/>
    <w:rPr>
      <w:kern w:val="2"/>
      <w:sz w:val="21"/>
      <w:szCs w:val="22"/>
    </w:rPr>
  </w:style>
  <w:style w:type="character" w:customStyle="1" w:styleId="38">
    <w:name w:val="楷体 (中文) 楷体"/>
    <w:autoRedefine/>
    <w:qFormat/>
    <w:uiPriority w:val="0"/>
    <w:rPr>
      <w:rFonts w:ascii="楷体" w:hAnsi="楷体" w:eastAsia="楷体"/>
      <w:kern w:val="1"/>
      <w:sz w:val="28"/>
    </w:rPr>
  </w:style>
  <w:style w:type="character" w:customStyle="1" w:styleId="39">
    <w:name w:val="Char Char3"/>
    <w:autoRedefine/>
    <w:qFormat/>
    <w:uiPriority w:val="0"/>
    <w:rPr>
      <w:rFonts w:eastAsia="仿宋_GB2312"/>
      <w:kern w:val="2"/>
      <w:sz w:val="18"/>
      <w:szCs w:val="18"/>
      <w:lang w:bidi="ar-SA"/>
    </w:rPr>
  </w:style>
  <w:style w:type="character" w:customStyle="1" w:styleId="40">
    <w:name w:val="日期 Char"/>
    <w:link w:val="17"/>
    <w:autoRedefine/>
    <w:semiHidden/>
    <w:qFormat/>
    <w:uiPriority w:val="99"/>
    <w:rPr>
      <w:kern w:val="2"/>
      <w:sz w:val="21"/>
      <w:szCs w:val="22"/>
    </w:rPr>
  </w:style>
  <w:style w:type="character" w:customStyle="1" w:styleId="41">
    <w:name w:val="访问过的超链接1"/>
    <w:qFormat/>
    <w:uiPriority w:val="99"/>
    <w:rPr>
      <w:color w:val="800080"/>
      <w:u w:val="single"/>
    </w:rPr>
  </w:style>
  <w:style w:type="character" w:customStyle="1" w:styleId="42">
    <w:name w:val="页脚 Char"/>
    <w:link w:val="19"/>
    <w:autoRedefine/>
    <w:qFormat/>
    <w:uiPriority w:val="0"/>
    <w:rPr>
      <w:kern w:val="2"/>
      <w:sz w:val="18"/>
      <w:szCs w:val="18"/>
    </w:rPr>
  </w:style>
  <w:style w:type="character" w:customStyle="1" w:styleId="43">
    <w:name w:val="样式 仿宋"/>
    <w:qFormat/>
    <w:uiPriority w:val="0"/>
    <w:rPr>
      <w:rFonts w:ascii="仿宋" w:hAnsi="仿宋" w:eastAsia="仿宋"/>
      <w:kern w:val="1"/>
    </w:rPr>
  </w:style>
  <w:style w:type="character" w:customStyle="1" w:styleId="44">
    <w:name w:val="纯文本 Char1"/>
    <w:link w:val="16"/>
    <w:autoRedefine/>
    <w:qFormat/>
    <w:locked/>
    <w:uiPriority w:val="0"/>
    <w:rPr>
      <w:rFonts w:ascii="宋体" w:hAnsi="Courier New"/>
      <w:kern w:val="2"/>
      <w:sz w:val="24"/>
    </w:rPr>
  </w:style>
  <w:style w:type="character" w:customStyle="1" w:styleId="45">
    <w:name w:val="标题 Char"/>
    <w:link w:val="26"/>
    <w:autoRedefine/>
    <w:qFormat/>
    <w:uiPriority w:val="0"/>
    <w:rPr>
      <w:rFonts w:ascii="Cambria" w:hAnsi="Cambria" w:eastAsia="宋体"/>
      <w:b/>
      <w:bCs/>
      <w:kern w:val="2"/>
      <w:sz w:val="32"/>
      <w:szCs w:val="32"/>
      <w:lang w:val="en-US" w:eastAsia="zh-CN" w:bidi="ar-SA"/>
    </w:rPr>
  </w:style>
  <w:style w:type="character" w:customStyle="1" w:styleId="46">
    <w:name w:val="Char Char2"/>
    <w:qFormat/>
    <w:uiPriority w:val="0"/>
    <w:rPr>
      <w:rFonts w:eastAsia="仿宋_GB2312"/>
      <w:kern w:val="2"/>
      <w:sz w:val="18"/>
      <w:szCs w:val="18"/>
      <w:lang w:bidi="ar-SA"/>
    </w:rPr>
  </w:style>
  <w:style w:type="character" w:customStyle="1" w:styleId="47">
    <w:name w:val="正文文本 3 Char"/>
    <w:link w:val="12"/>
    <w:autoRedefine/>
    <w:semiHidden/>
    <w:qFormat/>
    <w:uiPriority w:val="99"/>
    <w:rPr>
      <w:kern w:val="2"/>
      <w:sz w:val="16"/>
      <w:szCs w:val="16"/>
    </w:rPr>
  </w:style>
  <w:style w:type="character" w:customStyle="1" w:styleId="48">
    <w:name w:val="正文文本缩进 Char1"/>
    <w:autoRedefine/>
    <w:qFormat/>
    <w:uiPriority w:val="0"/>
    <w:rPr>
      <w:rFonts w:ascii="Cambria" w:hAnsi="Cambria"/>
      <w:kern w:val="2"/>
      <w:sz w:val="24"/>
      <w:szCs w:val="24"/>
    </w:rPr>
  </w:style>
  <w:style w:type="character" w:customStyle="1" w:styleId="49">
    <w:name w:val="批注主题 Char"/>
    <w:link w:val="27"/>
    <w:semiHidden/>
    <w:qFormat/>
    <w:uiPriority w:val="99"/>
    <w:rPr>
      <w:b/>
      <w:bCs/>
      <w:kern w:val="2"/>
      <w:sz w:val="21"/>
      <w:szCs w:val="22"/>
    </w:rPr>
  </w:style>
  <w:style w:type="character" w:customStyle="1" w:styleId="50">
    <w:name w:val="纯文本 Char"/>
    <w:autoRedefine/>
    <w:semiHidden/>
    <w:qFormat/>
    <w:uiPriority w:val="99"/>
    <w:rPr>
      <w:rFonts w:ascii="宋体" w:hAnsi="Courier New" w:cs="Courier New"/>
      <w:kern w:val="2"/>
      <w:sz w:val="21"/>
      <w:szCs w:val="21"/>
    </w:rPr>
  </w:style>
  <w:style w:type="character" w:customStyle="1" w:styleId="51">
    <w:name w:val="页眉 Char"/>
    <w:link w:val="20"/>
    <w:autoRedefine/>
    <w:qFormat/>
    <w:uiPriority w:val="99"/>
    <w:rPr>
      <w:kern w:val="2"/>
      <w:sz w:val="18"/>
      <w:szCs w:val="18"/>
    </w:rPr>
  </w:style>
  <w:style w:type="character" w:customStyle="1" w:styleId="52">
    <w:name w:val="Char Char1"/>
    <w:qFormat/>
    <w:uiPriority w:val="0"/>
    <w:rPr>
      <w:rFonts w:eastAsia="仿宋_GB2312"/>
      <w:kern w:val="2"/>
      <w:sz w:val="18"/>
      <w:szCs w:val="18"/>
      <w:lang w:bidi="ar-SA"/>
    </w:rPr>
  </w:style>
  <w:style w:type="paragraph" w:customStyle="1" w:styleId="53">
    <w:name w:val="列出段落1"/>
    <w:basedOn w:val="1"/>
    <w:autoRedefine/>
    <w:qFormat/>
    <w:uiPriority w:val="0"/>
    <w:pPr>
      <w:ind w:firstLine="420" w:firstLineChars="200"/>
    </w:pPr>
    <w:rPr>
      <w:szCs w:val="21"/>
    </w:rPr>
  </w:style>
  <w:style w:type="paragraph" w:customStyle="1" w:styleId="54">
    <w:name w:val="样式 标题 1 + (西文) 黑体 (中文) 黑体 小三 蓝色"/>
    <w:basedOn w:val="2"/>
    <w:autoRedefine/>
    <w:qFormat/>
    <w:uiPriority w:val="0"/>
    <w:rPr>
      <w:rFonts w:ascii="黑体" w:hAnsi="黑体" w:eastAsia="黑体"/>
      <w:sz w:val="30"/>
      <w:u w:color="0000FF"/>
    </w:rPr>
  </w:style>
  <w:style w:type="paragraph" w:customStyle="1" w:styleId="55">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6">
    <w:name w:val="样式 样式 标题 1 + (西文) 黑体 (中文) 黑体 小三 蓝色 + 非加粗 居中"/>
    <w:basedOn w:val="54"/>
    <w:autoRedefine/>
    <w:qFormat/>
    <w:uiPriority w:val="0"/>
    <w:pPr>
      <w:jc w:val="center"/>
    </w:pPr>
    <w:rPr>
      <w:rFonts w:cs="宋体"/>
      <w:b w:val="0"/>
      <w:bCs w:val="0"/>
      <w:szCs w:val="20"/>
    </w:rPr>
  </w:style>
  <w:style w:type="paragraph" w:customStyle="1" w:styleId="57">
    <w:name w:val="Char Char Char1 Char"/>
    <w:basedOn w:val="1"/>
    <w:autoRedefine/>
    <w:semiHidden/>
    <w:qFormat/>
    <w:uiPriority w:val="0"/>
    <w:pPr>
      <w:spacing w:line="360" w:lineRule="auto"/>
      <w:ind w:firstLine="200" w:firstLineChars="200"/>
    </w:pPr>
    <w:rPr>
      <w:rFonts w:ascii="宋体" w:hAnsi="宋体" w:cs="宋体"/>
      <w:sz w:val="24"/>
      <w:szCs w:val="24"/>
    </w:rPr>
  </w:style>
  <w:style w:type="paragraph" w:customStyle="1" w:styleId="58">
    <w:name w:val="仿宋"/>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9">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60">
    <w:name w:val="TOC 21"/>
    <w:basedOn w:val="1"/>
    <w:next w:val="1"/>
    <w:autoRedefine/>
    <w:unhideWhenUsed/>
    <w:qFormat/>
    <w:uiPriority w:val="39"/>
    <w:pPr>
      <w:spacing w:line="380" w:lineRule="exact"/>
      <w:ind w:left="200" w:leftChars="200"/>
      <w:jc w:val="distribute"/>
    </w:pPr>
  </w:style>
  <w:style w:type="paragraph" w:customStyle="1" w:styleId="61">
    <w:name w:val="样式3"/>
    <w:basedOn w:val="2"/>
    <w:autoRedefine/>
    <w:qFormat/>
    <w:uiPriority w:val="0"/>
    <w:rPr>
      <w:kern w:val="1"/>
      <w:sz w:val="30"/>
    </w:rPr>
  </w:style>
  <w:style w:type="paragraph" w:customStyle="1" w:styleId="6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64">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OC 11"/>
    <w:basedOn w:val="1"/>
    <w:next w:val="1"/>
    <w:autoRedefine/>
    <w:unhideWhenUsed/>
    <w:qFormat/>
    <w:uiPriority w:val="39"/>
    <w:pPr>
      <w:spacing w:line="380" w:lineRule="exact"/>
      <w:jc w:val="distribute"/>
    </w:pPr>
    <w:rPr>
      <w:rFonts w:eastAsia="黑体"/>
    </w:rPr>
  </w:style>
  <w:style w:type="paragraph" w:customStyle="1" w:styleId="66">
    <w:name w:val="样式2"/>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7">
    <w:name w:val="_Style 8"/>
    <w:basedOn w:val="1"/>
    <w:autoRedefine/>
    <w:qFormat/>
    <w:uiPriority w:val="0"/>
    <w:pPr>
      <w:tabs>
        <w:tab w:val="left" w:pos="360"/>
      </w:tabs>
    </w:pPr>
    <w:rPr>
      <w:sz w:val="24"/>
      <w:szCs w:val="24"/>
    </w:rPr>
  </w:style>
  <w:style w:type="paragraph" w:customStyle="1" w:styleId="68">
    <w:name w:val="样式１"/>
    <w:basedOn w:val="2"/>
    <w:autoRedefine/>
    <w:qFormat/>
    <w:uiPriority w:val="0"/>
    <w:pPr>
      <w:jc w:val="center"/>
    </w:pPr>
    <w:rPr>
      <w:kern w:val="1"/>
      <w:sz w:val="30"/>
    </w:rPr>
  </w:style>
  <w:style w:type="paragraph" w:customStyle="1" w:styleId="69">
    <w:name w:val="Char Char Char1 Char8"/>
    <w:basedOn w:val="1"/>
    <w:autoRedefine/>
    <w:semiHidden/>
    <w:qFormat/>
    <w:uiPriority w:val="0"/>
    <w:pPr>
      <w:spacing w:line="360" w:lineRule="auto"/>
      <w:ind w:firstLine="200" w:firstLineChars="200"/>
    </w:pPr>
    <w:rPr>
      <w:rFonts w:ascii="宋体" w:hAnsi="宋体" w:cs="宋体"/>
      <w:sz w:val="24"/>
      <w:szCs w:val="24"/>
    </w:rPr>
  </w:style>
  <w:style w:type="paragraph" w:customStyle="1" w:styleId="70">
    <w:name w:val="样式1"/>
    <w:basedOn w:val="1"/>
    <w:autoRedefine/>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1">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2">
    <w:name w:val="Char Char Char Char Char Char Char"/>
    <w:basedOn w:val="1"/>
    <w:autoRedefine/>
    <w:qFormat/>
    <w:uiPriority w:val="0"/>
    <w:pPr>
      <w:spacing w:line="240" w:lineRule="atLeast"/>
      <w:ind w:left="420" w:firstLine="420"/>
    </w:pPr>
    <w:rPr>
      <w:kern w:val="0"/>
      <w:szCs w:val="21"/>
    </w:rPr>
  </w:style>
  <w:style w:type="paragraph" w:customStyle="1" w:styleId="73">
    <w:name w:val="Char Char Char Char"/>
    <w:basedOn w:val="1"/>
    <w:autoRedefine/>
    <w:qFormat/>
    <w:uiPriority w:val="0"/>
    <w:rPr>
      <w:szCs w:val="20"/>
    </w:rPr>
  </w:style>
  <w:style w:type="paragraph" w:customStyle="1" w:styleId="74">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7"/>
    <w:basedOn w:val="1"/>
    <w:autoRedefine/>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8">
    <w:name w:val="font8"/>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79">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2">
    <w:name w:val="font12"/>
    <w:basedOn w:val="1"/>
    <w:autoRedefine/>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7">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8">
    <w:name w:val="xl103"/>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99">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0">
    <w:name w:val="xl105"/>
    <w:basedOn w:val="1"/>
    <w:autoRedefine/>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1">
    <w:name w:val="xl10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xl111"/>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7">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8">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1">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7"/>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3">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139"/>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0">
    <w:name w:val="xl7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1">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4">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6">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4">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5">
    <w:name w:val="xl8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Table Paragraph"/>
    <w:basedOn w:val="1"/>
    <w:autoRedefine/>
    <w:qFormat/>
    <w:uiPriority w:val="1"/>
    <w:pPr>
      <w:spacing w:before="37"/>
      <w:ind w:left="142"/>
      <w:jc w:val="center"/>
    </w:pPr>
    <w:rPr>
      <w:rFonts w:ascii="黑体" w:hAnsi="黑体" w:eastAsia="黑体" w:cs="黑体"/>
      <w:lang w:val="zh-CN" w:bidi="zh-CN"/>
    </w:rPr>
  </w:style>
  <w:style w:type="paragraph" w:styleId="158">
    <w:name w:val="List Paragraph"/>
    <w:basedOn w:val="1"/>
    <w:autoRedefine/>
    <w:qFormat/>
    <w:uiPriority w:val="0"/>
    <w:pPr>
      <w:ind w:firstLine="420" w:firstLineChars="200"/>
    </w:pPr>
    <w:rPr>
      <w:rFonts w:asciiTheme="minorHAnsi" w:hAnsiTheme="minorHAnsi" w:eastAsiaTheme="minorEastAsia" w:cstheme="minorBidi"/>
    </w:rPr>
  </w:style>
  <w:style w:type="character" w:customStyle="1" w:styleId="159">
    <w:name w:val="标题 5 Char"/>
    <w:basedOn w:val="30"/>
    <w:link w:val="7"/>
    <w:autoRedefine/>
    <w:semiHidden/>
    <w:qFormat/>
    <w:uiPriority w:val="9"/>
    <w:rPr>
      <w:b/>
      <w:bCs/>
      <w:kern w:val="2"/>
      <w:sz w:val="28"/>
      <w:szCs w:val="28"/>
    </w:rPr>
  </w:style>
  <w:style w:type="character" w:customStyle="1" w:styleId="160">
    <w:name w:val="标题 4 Char"/>
    <w:basedOn w:val="30"/>
    <w:link w:val="6"/>
    <w:autoRedefine/>
    <w:semiHidden/>
    <w:qFormat/>
    <w:uiPriority w:val="9"/>
    <w:rPr>
      <w:rFonts w:asciiTheme="majorHAnsi" w:hAnsiTheme="majorHAnsi" w:eastAsiaTheme="majorEastAsia" w:cstheme="majorBidi"/>
      <w:b/>
      <w:bCs/>
      <w:kern w:val="2"/>
      <w:sz w:val="28"/>
      <w:szCs w:val="28"/>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autoRedefine/>
    <w:qFormat/>
    <w:uiPriority w:val="0"/>
    <w:pPr>
      <w:widowControl/>
    </w:pPr>
    <w:rPr>
      <w:kern w:val="0"/>
      <w:szCs w:val="21"/>
    </w:rPr>
  </w:style>
  <w:style w:type="character" w:customStyle="1" w:styleId="163">
    <w:name w:val="HTML 预设格式 Char"/>
    <w:basedOn w:val="30"/>
    <w:link w:val="24"/>
    <w:autoRedefine/>
    <w:qFormat/>
    <w:uiPriority w:val="99"/>
    <w:rPr>
      <w:rFonts w:ascii="宋体" w:hAnsi="宋体" w:cs="宋体"/>
      <w:sz w:val="24"/>
      <w:szCs w:val="24"/>
      <w:shd w:val="clear" w:color="auto" w:fill="FFFFFF"/>
    </w:rPr>
  </w:style>
  <w:style w:type="paragraph" w:customStyle="1" w:styleId="164">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5">
    <w:name w:val="text_utvkh"/>
    <w:basedOn w:val="30"/>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18D6A-7F07-4C86-AB1E-02651759C68E}">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7</Pages>
  <Words>11125</Words>
  <Characters>11962</Characters>
  <Lines>109</Lines>
  <Paragraphs>30</Paragraphs>
  <TotalTime>486</TotalTime>
  <ScaleCrop>false</ScaleCrop>
  <LinksUpToDate>false</LinksUpToDate>
  <CharactersWithSpaces>13347</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2023-12-17T06:39:00Z</dcterms:created>
  <dc:creator>市政务服务办</dc:creator>
  <cp:lastModifiedBy>Administrator</cp:lastModifiedBy>
  <cp:lastPrinted>2024-03-25T09:49:00Z</cp:lastPrinted>
  <dcterms:modified xsi:type="dcterms:W3CDTF">2024-08-06T07:53:13Z</dcterms:modified>
  <dc:subject>青岛市政府采购采购文件范本</dc:subject>
  <dc:title>青岛市政府采购采购文件范本</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AB0E5AE9865C4900B2552F388743600E</vt:lpwstr>
  </property>
</Properties>
</file>