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6F3FB">
      <w:pPr>
        <w:spacing w:after="156" w:afterLines="50"/>
        <w:jc w:val="center"/>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采购</w:t>
      </w:r>
      <w:r>
        <w:rPr>
          <w:rFonts w:hint="eastAsia" w:ascii="黑体" w:hAnsi="黑体" w:eastAsia="黑体" w:cs="黑体"/>
          <w:color w:val="auto"/>
          <w:sz w:val="28"/>
          <w:szCs w:val="28"/>
          <w:highlight w:val="none"/>
        </w:rPr>
        <w:t>公告</w:t>
      </w:r>
    </w:p>
    <w:p w14:paraId="6E30C11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outlineLvl w:val="1"/>
        <w:rPr>
          <w:rFonts w:hint="eastAsia" w:ascii="仿宋" w:hAnsi="仿宋" w:eastAsia="仿宋" w:cs="仿宋"/>
          <w:bCs/>
          <w:color w:val="auto"/>
          <w:kern w:val="1"/>
          <w:sz w:val="24"/>
          <w:szCs w:val="24"/>
          <w:highlight w:val="none"/>
        </w:rPr>
      </w:pPr>
      <w:r>
        <w:rPr>
          <w:rFonts w:hint="eastAsia" w:ascii="仿宋" w:hAnsi="仿宋" w:eastAsia="仿宋" w:cs="仿宋"/>
          <w:color w:val="auto"/>
          <w:kern w:val="1"/>
          <w:sz w:val="24"/>
          <w:szCs w:val="24"/>
          <w:highlight w:val="none"/>
        </w:rPr>
        <w:t>山东铭世廷得工程项目管理有限公司受</w:t>
      </w:r>
      <w:r>
        <w:rPr>
          <w:rFonts w:hint="eastAsia" w:ascii="仿宋" w:hAnsi="仿宋" w:eastAsia="仿宋" w:cs="仿宋"/>
          <w:color w:val="auto"/>
          <w:kern w:val="1"/>
          <w:sz w:val="24"/>
          <w:szCs w:val="24"/>
          <w:highlight w:val="none"/>
          <w:lang w:eastAsia="zh-CN"/>
        </w:rPr>
        <w:t>青岛高实置业有限公司</w:t>
      </w:r>
      <w:r>
        <w:rPr>
          <w:rFonts w:hint="eastAsia" w:ascii="仿宋" w:hAnsi="仿宋" w:eastAsia="仿宋" w:cs="仿宋"/>
          <w:color w:val="auto"/>
          <w:kern w:val="1"/>
          <w:sz w:val="24"/>
          <w:szCs w:val="24"/>
          <w:highlight w:val="none"/>
        </w:rPr>
        <w:t>的委托，对华东路幼儿园项目（</w:t>
      </w:r>
      <w:r>
        <w:rPr>
          <w:rFonts w:hint="eastAsia" w:ascii="仿宋" w:hAnsi="仿宋" w:eastAsia="仿宋" w:cs="仿宋"/>
          <w:color w:val="auto"/>
          <w:kern w:val="1"/>
          <w:sz w:val="24"/>
          <w:szCs w:val="24"/>
          <w:highlight w:val="none"/>
          <w:lang w:val="en-US" w:eastAsia="zh-CN"/>
        </w:rPr>
        <w:t>工程质量检测</w:t>
      </w:r>
      <w:r>
        <w:rPr>
          <w:rFonts w:hint="eastAsia" w:ascii="仿宋" w:hAnsi="仿宋" w:eastAsia="仿宋" w:cs="仿宋"/>
          <w:color w:val="auto"/>
          <w:kern w:val="1"/>
          <w:sz w:val="24"/>
          <w:szCs w:val="24"/>
          <w:highlight w:val="none"/>
        </w:rPr>
        <w:t>）进行采购，欢迎符合资格条件的供应商参加报价。</w:t>
      </w:r>
    </w:p>
    <w:p w14:paraId="768AFA6C">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4"/>
          <w:rFonts w:hint="default" w:ascii="仿宋" w:hAnsi="仿宋" w:eastAsia="仿宋" w:cs="仿宋"/>
          <w:b w:val="0"/>
          <w:bCs w:val="0"/>
          <w:color w:val="auto"/>
          <w:sz w:val="24"/>
          <w:szCs w:val="24"/>
          <w:highlight w:val="none"/>
          <w:lang w:val="en-US" w:eastAsia="zh-CN"/>
        </w:rPr>
      </w:pPr>
      <w:r>
        <w:rPr>
          <w:rStyle w:val="14"/>
          <w:rFonts w:hint="eastAsia" w:ascii="仿宋" w:hAnsi="仿宋" w:eastAsia="仿宋" w:cs="仿宋"/>
          <w:b w:val="0"/>
          <w:bCs w:val="0"/>
          <w:color w:val="auto"/>
          <w:sz w:val="24"/>
          <w:szCs w:val="24"/>
          <w:highlight w:val="none"/>
        </w:rPr>
        <w:t>1.项目编号：</w:t>
      </w:r>
      <w:r>
        <w:rPr>
          <w:rFonts w:hint="eastAsia" w:ascii="仿宋" w:hAnsi="仿宋" w:eastAsia="仿宋" w:cs="仿宋"/>
          <w:color w:val="auto"/>
          <w:kern w:val="0"/>
          <w:sz w:val="24"/>
        </w:rPr>
        <w:t>MSTD-2024-0</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0</w:t>
      </w:r>
      <w:r>
        <w:rPr>
          <w:rFonts w:hint="eastAsia" w:ascii="仿宋" w:hAnsi="仿宋" w:eastAsia="仿宋" w:cs="仿宋"/>
          <w:color w:val="auto"/>
          <w:kern w:val="0"/>
          <w:sz w:val="24"/>
          <w:lang w:val="en-US" w:eastAsia="zh-CN"/>
        </w:rPr>
        <w:t>11</w:t>
      </w:r>
    </w:p>
    <w:p w14:paraId="3139FF3D">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4"/>
          <w:rFonts w:hint="eastAsia" w:ascii="仿宋" w:hAnsi="仿宋" w:eastAsia="仿宋" w:cs="仿宋"/>
          <w:color w:val="auto"/>
          <w:sz w:val="24"/>
          <w:szCs w:val="24"/>
          <w:highlight w:val="none"/>
        </w:rPr>
      </w:pPr>
      <w:r>
        <w:rPr>
          <w:rStyle w:val="14"/>
          <w:rFonts w:hint="eastAsia" w:ascii="仿宋" w:hAnsi="仿宋" w:eastAsia="仿宋" w:cs="仿宋"/>
          <w:b w:val="0"/>
          <w:bCs w:val="0"/>
          <w:color w:val="auto"/>
          <w:sz w:val="24"/>
          <w:szCs w:val="24"/>
          <w:highlight w:val="none"/>
        </w:rPr>
        <w:t>2</w:t>
      </w:r>
      <w:r>
        <w:rPr>
          <w:rStyle w:val="14"/>
          <w:rFonts w:hint="eastAsia" w:ascii="仿宋" w:hAnsi="仿宋" w:eastAsia="仿宋" w:cs="仿宋"/>
          <w:b/>
          <w:bCs/>
          <w:color w:val="auto"/>
          <w:sz w:val="24"/>
          <w:szCs w:val="24"/>
          <w:highlight w:val="none"/>
        </w:rPr>
        <w:t>.</w:t>
      </w:r>
      <w:r>
        <w:rPr>
          <w:rStyle w:val="14"/>
          <w:rFonts w:hint="eastAsia" w:ascii="仿宋" w:hAnsi="仿宋" w:eastAsia="仿宋" w:cs="仿宋"/>
          <w:color w:val="auto"/>
          <w:sz w:val="24"/>
          <w:szCs w:val="24"/>
          <w:highlight w:val="none"/>
        </w:rPr>
        <w:t>项目名称：</w:t>
      </w:r>
      <w:bookmarkStart w:id="8" w:name="_GoBack"/>
      <w:r>
        <w:rPr>
          <w:rStyle w:val="14"/>
          <w:rFonts w:hint="eastAsia" w:ascii="仿宋" w:hAnsi="仿宋" w:eastAsia="仿宋" w:cs="仿宋"/>
          <w:color w:val="auto"/>
          <w:sz w:val="24"/>
          <w:szCs w:val="24"/>
          <w:highlight w:val="none"/>
        </w:rPr>
        <w:t>华东路幼儿园项目（</w:t>
      </w:r>
      <w:r>
        <w:rPr>
          <w:rStyle w:val="14"/>
          <w:rFonts w:hint="eastAsia" w:ascii="仿宋" w:hAnsi="仿宋" w:eastAsia="仿宋" w:cs="仿宋"/>
          <w:color w:val="auto"/>
          <w:sz w:val="24"/>
          <w:szCs w:val="24"/>
          <w:highlight w:val="none"/>
          <w:lang w:val="en-US" w:eastAsia="zh-CN"/>
        </w:rPr>
        <w:t>工程质量检测</w:t>
      </w:r>
      <w:r>
        <w:rPr>
          <w:rStyle w:val="14"/>
          <w:rFonts w:hint="eastAsia" w:ascii="仿宋" w:hAnsi="仿宋" w:eastAsia="仿宋" w:cs="仿宋"/>
          <w:color w:val="auto"/>
          <w:sz w:val="24"/>
          <w:szCs w:val="24"/>
          <w:highlight w:val="none"/>
        </w:rPr>
        <w:t>）</w:t>
      </w:r>
      <w:bookmarkEnd w:id="8"/>
    </w:p>
    <w:p w14:paraId="4F85AF3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4"/>
          <w:rFonts w:hint="eastAsia" w:ascii="仿宋" w:hAnsi="仿宋" w:eastAsia="仿宋" w:cs="仿宋"/>
          <w:color w:val="auto"/>
          <w:sz w:val="24"/>
          <w:szCs w:val="24"/>
          <w:highlight w:val="none"/>
        </w:rPr>
      </w:pPr>
      <w:r>
        <w:rPr>
          <w:rStyle w:val="14"/>
          <w:rFonts w:hint="eastAsia" w:ascii="仿宋" w:hAnsi="仿宋" w:eastAsia="仿宋" w:cs="仿宋"/>
          <w:color w:val="auto"/>
          <w:sz w:val="24"/>
          <w:szCs w:val="24"/>
          <w:highlight w:val="none"/>
        </w:rPr>
        <w:t>3.项目内容：项目位于青岛市高新区华东路以西，丰沛路以北，世茂3号地块的东南角。</w:t>
      </w:r>
      <w:r>
        <w:rPr>
          <w:rStyle w:val="14"/>
          <w:rFonts w:hint="eastAsia" w:ascii="仿宋" w:hAnsi="仿宋" w:eastAsia="仿宋" w:cs="仿宋"/>
          <w:color w:val="auto"/>
          <w:sz w:val="24"/>
          <w:szCs w:val="24"/>
          <w:highlight w:val="none"/>
          <w:lang w:val="en-US" w:eastAsia="zh-CN"/>
        </w:rPr>
        <w:t>项目占地面积约为8842.6平方米，总建筑面积为6714.77平方米；建筑高度最高16.7米，单体建筑最大面积约为6552.5平方米，单跨跨度约为12.1米，层数为3层</w:t>
      </w:r>
      <w:r>
        <w:rPr>
          <w:rStyle w:val="14"/>
          <w:rFonts w:hint="eastAsia" w:ascii="仿宋" w:hAnsi="仿宋" w:eastAsia="仿宋" w:cs="仿宋"/>
          <w:color w:val="auto"/>
          <w:sz w:val="24"/>
          <w:szCs w:val="24"/>
          <w:highlight w:val="none"/>
        </w:rPr>
        <w:t>本项目建设内容包括</w:t>
      </w:r>
      <w:r>
        <w:rPr>
          <w:rStyle w:val="14"/>
          <w:rFonts w:hint="eastAsia" w:ascii="仿宋" w:hAnsi="仿宋" w:eastAsia="仿宋" w:cs="仿宋"/>
          <w:color w:val="auto"/>
          <w:sz w:val="24"/>
          <w:szCs w:val="24"/>
          <w:highlight w:val="none"/>
          <w:lang w:eastAsia="zh-CN"/>
        </w:rPr>
        <w:t>：</w:t>
      </w:r>
      <w:r>
        <w:rPr>
          <w:rStyle w:val="14"/>
          <w:rFonts w:hint="eastAsia" w:ascii="仿宋" w:hAnsi="仿宋" w:eastAsia="仿宋" w:cs="仿宋"/>
          <w:color w:val="auto"/>
          <w:sz w:val="24"/>
          <w:szCs w:val="24"/>
          <w:highlight w:val="none"/>
          <w:lang w:val="en-US" w:eastAsia="zh-CN"/>
        </w:rPr>
        <w:t>拟建设15班规模幼儿园，大、中、小各5个班，共提供450个学前学位。</w:t>
      </w:r>
    </w:p>
    <w:p w14:paraId="265E6275">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eastAsia" w:ascii="仿宋" w:hAnsi="仿宋" w:eastAsia="仿宋" w:cs="仿宋"/>
          <w:bCs/>
          <w:color w:val="auto"/>
          <w:kern w:val="1"/>
          <w:sz w:val="24"/>
          <w:szCs w:val="24"/>
          <w:highlight w:val="none"/>
          <w:lang w:eastAsia="zh-CN"/>
        </w:rPr>
      </w:pPr>
      <w:r>
        <w:rPr>
          <w:rFonts w:hint="eastAsia" w:ascii="仿宋" w:hAnsi="仿宋" w:eastAsia="仿宋" w:cs="仿宋"/>
          <w:bCs/>
          <w:color w:val="auto"/>
          <w:kern w:val="1"/>
          <w:sz w:val="24"/>
          <w:szCs w:val="24"/>
          <w:highlight w:val="none"/>
        </w:rPr>
        <w:t>采购内容：</w:t>
      </w:r>
      <w:r>
        <w:rPr>
          <w:rFonts w:hint="eastAsia" w:ascii="仿宋" w:hAnsi="仿宋" w:eastAsia="仿宋"/>
          <w:color w:val="auto"/>
          <w:kern w:val="0"/>
          <w:sz w:val="24"/>
          <w:szCs w:val="24"/>
          <w:highlight w:val="none"/>
        </w:rPr>
        <w:t>本项目工程检测主要有桩基检测、</w:t>
      </w:r>
      <w:r>
        <w:rPr>
          <w:rFonts w:hint="eastAsia" w:ascii="仿宋" w:hAnsi="仿宋" w:eastAsia="仿宋"/>
          <w:color w:val="auto"/>
          <w:kern w:val="0"/>
          <w:sz w:val="24"/>
          <w:szCs w:val="24"/>
          <w:highlight w:val="none"/>
          <w:lang w:val="en-US" w:eastAsia="zh-CN"/>
        </w:rPr>
        <w:t>结构检测、环境检测</w:t>
      </w:r>
      <w:r>
        <w:rPr>
          <w:rFonts w:hint="eastAsia" w:ascii="仿宋" w:hAnsi="仿宋" w:eastAsia="仿宋"/>
          <w:color w:val="auto"/>
          <w:kern w:val="0"/>
          <w:sz w:val="24"/>
          <w:szCs w:val="24"/>
          <w:highlight w:val="none"/>
        </w:rPr>
        <w:t>以及建设单位委托的其余工程检测项目</w:t>
      </w:r>
      <w:r>
        <w:rPr>
          <w:rFonts w:hint="eastAsia" w:ascii="仿宋" w:hAnsi="仿宋" w:eastAsia="仿宋"/>
          <w:color w:val="auto"/>
          <w:kern w:val="0"/>
          <w:sz w:val="24"/>
          <w:szCs w:val="24"/>
          <w:highlight w:val="none"/>
          <w:lang w:eastAsia="zh-CN"/>
        </w:rPr>
        <w:t>。</w:t>
      </w:r>
    </w:p>
    <w:p w14:paraId="02DE97C4">
      <w:pPr>
        <w:keepNext w:val="0"/>
        <w:keepLines w:val="0"/>
        <w:pageBreakBefore w:val="0"/>
        <w:widowControl w:val="0"/>
        <w:numPr>
          <w:ilvl w:val="0"/>
          <w:numId w:val="0"/>
        </w:numPr>
        <w:kinsoku/>
        <w:wordWrap/>
        <w:overflowPunct/>
        <w:topLinePunct w:val="0"/>
        <w:autoSpaceDN/>
        <w:bidi w:val="0"/>
        <w:adjustRightInd/>
        <w:snapToGrid/>
        <w:spacing w:line="480" w:lineRule="exact"/>
        <w:ind w:left="0" w:leftChars="0" w:firstLine="480" w:firstLineChars="200"/>
        <w:textAlignment w:val="auto"/>
        <w:rPr>
          <w:rStyle w:val="14"/>
          <w:rFonts w:hint="eastAsia" w:ascii="仿宋" w:hAnsi="仿宋" w:eastAsia="仿宋" w:cs="仿宋"/>
          <w:b/>
          <w:bCs/>
          <w:sz w:val="24"/>
          <w:szCs w:val="24"/>
          <w:highlight w:val="none"/>
        </w:rPr>
      </w:pPr>
      <w:r>
        <w:rPr>
          <w:rFonts w:hint="eastAsia" w:ascii="仿宋" w:hAnsi="仿宋" w:eastAsia="仿宋" w:cs="仿宋"/>
          <w:color w:val="auto"/>
          <w:kern w:val="1"/>
          <w:sz w:val="24"/>
          <w:szCs w:val="24"/>
          <w:highlight w:val="none"/>
          <w:lang w:val="en-US" w:eastAsia="zh-CN" w:bidi="ar-SA"/>
        </w:rPr>
        <w:t>4.</w:t>
      </w:r>
      <w:r>
        <w:rPr>
          <w:rStyle w:val="14"/>
          <w:rFonts w:hint="eastAsia" w:ascii="仿宋" w:hAnsi="仿宋" w:eastAsia="仿宋" w:cs="仿宋"/>
          <w:b/>
          <w:bCs/>
          <w:sz w:val="24"/>
          <w:szCs w:val="24"/>
          <w:highlight w:val="none"/>
        </w:rPr>
        <w:t>最高限价</w:t>
      </w:r>
    </w:p>
    <w:p w14:paraId="7FEB23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本项目实行费率报价，招标控制价为</w:t>
      </w:r>
      <w:r>
        <w:rPr>
          <w:rFonts w:hint="eastAsia" w:ascii="仿宋" w:hAnsi="仿宋" w:eastAsia="仿宋" w:cs="仿宋"/>
          <w:color w:val="auto"/>
          <w:sz w:val="24"/>
          <w:szCs w:val="24"/>
          <w:highlight w:val="none"/>
          <w:lang w:val="en-US" w:eastAsia="zh-CN"/>
        </w:rPr>
        <w:t>271440</w:t>
      </w:r>
      <w:r>
        <w:rPr>
          <w:rFonts w:hint="eastAsia" w:ascii="仿宋" w:hAnsi="仿宋" w:eastAsia="仿宋" w:cs="仿宋"/>
          <w:color w:val="auto"/>
          <w:sz w:val="24"/>
          <w:szCs w:val="24"/>
          <w:highlight w:val="none"/>
        </w:rPr>
        <w:t>元。</w:t>
      </w:r>
    </w:p>
    <w:p w14:paraId="6CC0DC0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本项目最终检测费按中标费率按实结算，结算上限不能超过中标金额。</w:t>
      </w:r>
    </w:p>
    <w:p w14:paraId="28799824">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4"/>
          <w:rFonts w:hint="eastAsia" w:ascii="仿宋" w:hAnsi="仿宋" w:eastAsia="仿宋" w:cs="仿宋"/>
          <w:color w:val="auto"/>
          <w:sz w:val="24"/>
          <w:szCs w:val="21"/>
          <w:highlight w:val="none"/>
        </w:rPr>
      </w:pPr>
      <w:r>
        <w:rPr>
          <w:rStyle w:val="14"/>
          <w:rFonts w:hint="eastAsia" w:ascii="仿宋" w:hAnsi="仿宋" w:eastAsia="仿宋" w:cs="仿宋"/>
          <w:color w:val="auto"/>
          <w:sz w:val="24"/>
          <w:szCs w:val="21"/>
          <w:highlight w:val="none"/>
        </w:rPr>
        <w:t>5.供应商资格要求</w:t>
      </w:r>
    </w:p>
    <w:p w14:paraId="7781935C">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5.1 具有独立承担民事责任能力的法人。</w:t>
      </w:r>
    </w:p>
    <w:p w14:paraId="2EE27AE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1"/>
          <w:sz w:val="24"/>
          <w:szCs w:val="24"/>
          <w:highlight w:val="none"/>
        </w:rPr>
        <w:t xml:space="preserve">5.2 </w:t>
      </w:r>
      <w:r>
        <w:rPr>
          <w:rFonts w:hint="eastAsia" w:ascii="仿宋" w:hAnsi="仿宋" w:eastAsia="仿宋" w:cs="仿宋"/>
          <w:sz w:val="24"/>
          <w:szCs w:val="24"/>
          <w:highlight w:val="none"/>
        </w:rPr>
        <w:t>具有省级市场监督管理局颁发的检验检测机构资质认定证书；</w:t>
      </w:r>
    </w:p>
    <w:p w14:paraId="7E0531B9">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sz w:val="24"/>
          <w:szCs w:val="24"/>
          <w:highlight w:val="none"/>
        </w:rPr>
        <w:t>5.3 具有省级及以上建设行政主管部门颁发的建设工程质量检测机构资质证书（检测范围须包含见证取样检测、地基基础工程检测、主体结构工程现场检测）；</w:t>
      </w:r>
    </w:p>
    <w:p w14:paraId="2FE4CA3D">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5.4 采购公告发布之日前三年内无行贿犯罪等重大违法记录。</w:t>
      </w:r>
    </w:p>
    <w:p w14:paraId="7D18A312">
      <w:pPr>
        <w:spacing w:line="360" w:lineRule="auto"/>
        <w:ind w:firstLine="480" w:firstLineChars="200"/>
        <w:jc w:val="left"/>
        <w:rPr>
          <w:rFonts w:hint="eastAsia" w:ascii="仿宋" w:hAnsi="仿宋" w:eastAsia="仿宋" w:cs="仿宋"/>
          <w:sz w:val="24"/>
          <w:szCs w:val="24"/>
          <w:highlight w:val="none"/>
          <w:shd w:val="clear" w:color="auto" w:fill="FFFFFF"/>
        </w:rPr>
      </w:pPr>
      <w:r>
        <w:rPr>
          <w:rFonts w:hint="eastAsia" w:ascii="仿宋" w:hAnsi="仿宋" w:eastAsia="仿宋" w:cs="仿宋"/>
          <w:kern w:val="1"/>
          <w:sz w:val="24"/>
          <w:szCs w:val="24"/>
          <w:highlight w:val="none"/>
        </w:rPr>
        <w:t xml:space="preserve">5.5 </w:t>
      </w:r>
      <w:r>
        <w:rPr>
          <w:rFonts w:hint="eastAsia" w:ascii="仿宋" w:hAnsi="仿宋" w:eastAsia="仿宋" w:cs="仿宋"/>
          <w:sz w:val="24"/>
          <w:szCs w:val="24"/>
          <w:highlight w:val="none"/>
          <w:shd w:val="clear" w:color="auto" w:fill="FFFFFF"/>
        </w:rPr>
        <w:t>通过“信用中国”网站（www.creditchina.gov.cn）、中国政府采购网</w:t>
      </w:r>
    </w:p>
    <w:p w14:paraId="6DB8FDDF">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sz w:val="24"/>
          <w:szCs w:val="24"/>
          <w:highlight w:val="none"/>
          <w:shd w:val="clear" w:color="auto" w:fill="FFFFFF"/>
        </w:rPr>
        <w:t>（www.ccgp.gov.cn）、查询，未被列入失信被执行人、重大税收违法案件当事人、政府采购严重违法失信行为记录等名单的</w:t>
      </w:r>
      <w:r>
        <w:rPr>
          <w:rFonts w:hint="eastAsia" w:ascii="仿宋" w:hAnsi="仿宋" w:eastAsia="仿宋" w:cs="仿宋"/>
          <w:kern w:val="1"/>
          <w:sz w:val="24"/>
          <w:szCs w:val="24"/>
          <w:highlight w:val="none"/>
        </w:rPr>
        <w:t>。</w:t>
      </w:r>
    </w:p>
    <w:p w14:paraId="7F811182">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5.6 本项目不接受联合体投标。</w:t>
      </w:r>
    </w:p>
    <w:p w14:paraId="0FE5BDB0">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4"/>
          <w:rFonts w:hint="eastAsia" w:ascii="仿宋" w:hAnsi="仿宋" w:eastAsia="仿宋" w:cs="仿宋"/>
          <w:color w:val="auto"/>
          <w:sz w:val="24"/>
          <w:szCs w:val="24"/>
          <w:highlight w:val="none"/>
        </w:rPr>
      </w:pPr>
      <w:r>
        <w:rPr>
          <w:rStyle w:val="14"/>
          <w:rFonts w:hint="eastAsia" w:ascii="仿宋" w:hAnsi="仿宋" w:eastAsia="仿宋" w:cs="仿宋"/>
          <w:color w:val="auto"/>
          <w:sz w:val="24"/>
          <w:szCs w:val="24"/>
          <w:highlight w:val="none"/>
        </w:rPr>
        <w:t>6.公告媒介</w:t>
      </w:r>
    </w:p>
    <w:p w14:paraId="22C01469">
      <w:pPr>
        <w:keepNext w:val="0"/>
        <w:keepLines w:val="0"/>
        <w:pageBreakBefore w:val="0"/>
        <w:widowControl w:val="0"/>
        <w:kinsoku/>
        <w:wordWrap/>
        <w:overflowPunct/>
        <w:topLinePunct w:val="0"/>
        <w:autoSpaceDE w:val="0"/>
        <w:autoSpaceDN/>
        <w:bidi w:val="0"/>
        <w:adjustRightInd/>
        <w:snapToGrid/>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采购公告在</w:t>
      </w:r>
      <w:r>
        <w:rPr>
          <w:rFonts w:hint="eastAsia" w:ascii="仿宋" w:hAnsi="仿宋" w:eastAsia="仿宋" w:cs="仿宋"/>
          <w:color w:val="auto"/>
          <w:sz w:val="24"/>
          <w:szCs w:val="24"/>
          <w:highlight w:val="none"/>
          <w:lang w:val="en-US" w:eastAsia="zh-CN"/>
        </w:rPr>
        <w:t>青岛高新实业</w:t>
      </w:r>
      <w:r>
        <w:rPr>
          <w:rFonts w:hint="eastAsia" w:ascii="仿宋" w:hAnsi="仿宋" w:eastAsia="仿宋" w:cs="仿宋"/>
          <w:color w:val="auto"/>
          <w:sz w:val="24"/>
          <w:szCs w:val="24"/>
        </w:rPr>
        <w:t>集团采购平台</w:t>
      </w:r>
      <w:r>
        <w:rPr>
          <w:rFonts w:hint="eastAsia" w:ascii="仿宋" w:hAnsi="仿宋" w:eastAsia="仿宋" w:cs="仿宋"/>
          <w:color w:val="auto"/>
          <w:sz w:val="24"/>
          <w:szCs w:val="24"/>
          <w:highlight w:val="none"/>
        </w:rPr>
        <w:t>上发布。</w:t>
      </w:r>
    </w:p>
    <w:p w14:paraId="0757CDF6">
      <w:pPr>
        <w:keepNext w:val="0"/>
        <w:keepLines w:val="0"/>
        <w:pageBreakBefore w:val="0"/>
        <w:widowControl w:val="0"/>
        <w:kinsoku/>
        <w:wordWrap/>
        <w:overflowPunct/>
        <w:topLinePunct w:val="0"/>
        <w:autoSpaceDE w:val="0"/>
        <w:autoSpaceDN/>
        <w:bidi w:val="0"/>
        <w:adjustRightInd/>
        <w:snapToGrid/>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color w:val="auto"/>
          <w:sz w:val="24"/>
          <w:szCs w:val="24"/>
          <w:highlight w:val="none"/>
          <w:lang w:val="en-US" w:eastAsia="zh-CN"/>
        </w:rPr>
        <w:t>资格预审及</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的获取</w:t>
      </w:r>
    </w:p>
    <w:p w14:paraId="3D3623AF">
      <w:pPr>
        <w:keepNext w:val="0"/>
        <w:keepLines w:val="0"/>
        <w:pageBreakBefore w:val="0"/>
        <w:widowControl w:val="0"/>
        <w:kinsoku/>
        <w:wordWrap/>
        <w:overflowPunct/>
        <w:topLinePunct w:val="0"/>
        <w:autoSpaceDE w:val="0"/>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7.1资格预审截止时间</w:t>
      </w:r>
      <w:r>
        <w:rPr>
          <w:rFonts w:hint="eastAsia" w:ascii="仿宋" w:hAnsi="仿宋" w:eastAsia="仿宋" w:cs="仿宋"/>
          <w:color w:val="auto"/>
          <w:sz w:val="24"/>
          <w:szCs w:val="24"/>
          <w:highlight w:val="none"/>
        </w:rPr>
        <w:t>：2024年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19日15时00分</w:t>
      </w:r>
    </w:p>
    <w:p w14:paraId="66BFC8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7.2资格审查资料</w:t>
      </w:r>
      <w:r>
        <w:rPr>
          <w:rFonts w:hint="eastAsia" w:ascii="仿宋" w:hAnsi="仿宋" w:eastAsia="仿宋" w:cs="仿宋"/>
          <w:color w:val="auto"/>
          <w:sz w:val="24"/>
          <w:szCs w:val="24"/>
          <w:highlight w:val="none"/>
        </w:rPr>
        <w:t>：</w:t>
      </w:r>
    </w:p>
    <w:p w14:paraId="3A5C9D5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营业执照</w:t>
      </w:r>
      <w:r>
        <w:rPr>
          <w:rFonts w:hint="eastAsia" w:ascii="仿宋" w:hAnsi="仿宋" w:eastAsia="仿宋" w:cs="仿宋"/>
          <w:color w:val="auto"/>
          <w:sz w:val="24"/>
          <w:szCs w:val="24"/>
          <w:highlight w:val="none"/>
          <w:lang w:val="en-US" w:eastAsia="zh-CN"/>
        </w:rPr>
        <w:t>副本</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eastAsia="zh-CN"/>
        </w:rPr>
        <w:t>；</w:t>
      </w:r>
    </w:p>
    <w:p w14:paraId="0061D8D4">
      <w:pPr>
        <w:numPr>
          <w:ilvl w:val="0"/>
          <w:numId w:val="0"/>
        </w:numPr>
        <w:spacing w:line="360" w:lineRule="auto"/>
        <w:ind w:firstLine="424" w:firstLineChars="177"/>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（2）资质证书</w:t>
      </w:r>
    </w:p>
    <w:p w14:paraId="3F5F713C">
      <w:pPr>
        <w:numPr>
          <w:ilvl w:val="0"/>
          <w:numId w:val="0"/>
        </w:numPr>
        <w:spacing w:line="360" w:lineRule="auto"/>
        <w:ind w:firstLine="424" w:firstLineChars="177"/>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sz w:val="24"/>
          <w:szCs w:val="24"/>
          <w:highlight w:val="none"/>
        </w:rPr>
        <w:t>法定代表人身份证明</w:t>
      </w:r>
      <w:r>
        <w:rPr>
          <w:rFonts w:hint="eastAsia" w:ascii="仿宋" w:hAnsi="仿宋" w:eastAsia="仿宋" w:cs="仿宋"/>
          <w:color w:val="auto"/>
          <w:sz w:val="24"/>
          <w:szCs w:val="24"/>
          <w:highlight w:val="none"/>
          <w:lang w:eastAsia="zh-CN"/>
        </w:rPr>
        <w:t>；</w:t>
      </w:r>
    </w:p>
    <w:p w14:paraId="2A704D1D">
      <w:pPr>
        <w:numPr>
          <w:ilvl w:val="0"/>
          <w:numId w:val="0"/>
        </w:num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lang w:val="en-US" w:eastAsia="zh-CN" w:bidi="ar-SA"/>
        </w:rPr>
        <w:t>（4）</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p>
    <w:p w14:paraId="4B288F0B">
      <w:pPr>
        <w:numPr>
          <w:ilvl w:val="0"/>
          <w:numId w:val="0"/>
        </w:numPr>
        <w:spacing w:line="360" w:lineRule="auto"/>
        <w:ind w:firstLine="424" w:firstLineChars="177"/>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lang w:val="en-US" w:eastAsia="zh-CN" w:bidi="ar-SA"/>
        </w:rPr>
        <w:t>（5）</w:t>
      </w:r>
      <w:r>
        <w:rPr>
          <w:rFonts w:hint="eastAsia" w:ascii="仿宋" w:hAnsi="仿宋" w:eastAsia="仿宋" w:cs="仿宋"/>
          <w:color w:val="auto"/>
          <w:sz w:val="24"/>
          <w:szCs w:val="24"/>
          <w:highlight w:val="none"/>
        </w:rPr>
        <w:t>在经营活动中无重大违法记录和行贿犯罪记录的承诺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通过中国裁判文书网（http://wenshu.court.gov.cn)查询投标人、法定代表人无行贿犯罪记录</w:t>
      </w:r>
      <w:r>
        <w:rPr>
          <w:rFonts w:hint="eastAsia" w:ascii="仿宋" w:hAnsi="仿宋" w:eastAsia="仿宋" w:cs="仿宋"/>
          <w:color w:val="auto"/>
          <w:sz w:val="24"/>
          <w:szCs w:val="24"/>
          <w:highlight w:val="none"/>
        </w:rPr>
        <w:t>的查询结果截图</w:t>
      </w:r>
      <w:r>
        <w:rPr>
          <w:rFonts w:hint="eastAsia" w:ascii="仿宋" w:hAnsi="仿宋" w:eastAsia="仿宋" w:cs="仿宋"/>
          <w:color w:val="auto"/>
          <w:sz w:val="24"/>
          <w:szCs w:val="24"/>
          <w:highlight w:val="none"/>
          <w:lang w:eastAsia="zh-CN"/>
        </w:rPr>
        <w:t>）。</w:t>
      </w:r>
    </w:p>
    <w:p w14:paraId="6B45FF21">
      <w:pPr>
        <w:numPr>
          <w:ilvl w:val="0"/>
          <w:numId w:val="0"/>
        </w:num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通过“信用中国”网站（www.creditchina.gov.cn）、中国政府采购网（www.ccgp.gov.cn）查询，未被列入失信被执行人、重大税收违法案件当事人、政府采购严重违法失信行为记录等名单</w:t>
      </w:r>
      <w:r>
        <w:rPr>
          <w:rFonts w:hint="eastAsia" w:ascii="仿宋" w:hAnsi="仿宋" w:eastAsia="仿宋" w:cs="仿宋"/>
          <w:color w:val="auto"/>
          <w:sz w:val="24"/>
          <w:szCs w:val="24"/>
          <w:highlight w:val="none"/>
        </w:rPr>
        <w:t>的查询结果截图。</w:t>
      </w:r>
    </w:p>
    <w:p w14:paraId="241338B9">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上材料均需加盖供应商公章。在规定时间内将以上材料电子扫描件发送邮箱：</w:t>
      </w:r>
      <w:r>
        <w:rPr>
          <w:rFonts w:hint="eastAsia" w:ascii="仿宋" w:hAnsi="Times New Roman" w:eastAsia="仿宋" w:cs="仿宋_GB2312"/>
          <w:color w:val="auto"/>
          <w:sz w:val="24"/>
          <w:szCs w:val="24"/>
          <w:highlight w:val="none"/>
          <w:lang w:val="en-US" w:eastAsia="zh-CN"/>
        </w:rPr>
        <w:t>mingshitingde@163.com，</w:t>
      </w:r>
      <w:r>
        <w:rPr>
          <w:rFonts w:hint="eastAsia" w:ascii="仿宋" w:hAnsi="仿宋" w:eastAsia="仿宋" w:cs="仿宋"/>
          <w:color w:val="auto"/>
          <w:sz w:val="24"/>
          <w:szCs w:val="24"/>
          <w:highlight w:val="none"/>
          <w:lang w:val="en-US" w:eastAsia="zh-CN"/>
        </w:rPr>
        <w:t>邮件标题为投标人名称+项目名称，正文备注联系人、联系方式、资格审批结果接收邮箱地址；</w:t>
      </w:r>
      <w:r>
        <w:rPr>
          <w:rFonts w:hint="eastAsia" w:ascii="仿宋" w:hAnsi="仿宋" w:eastAsia="仿宋" w:cs="仿宋"/>
          <w:color w:val="auto"/>
          <w:sz w:val="24"/>
          <w:szCs w:val="24"/>
          <w:highlight w:val="none"/>
        </w:rPr>
        <w:t>经资格预审合格后，对通过资格预审的供应商发售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p>
    <w:p w14:paraId="3C81A123">
      <w:pPr>
        <w:autoSpaceDE w:val="0"/>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7.3采购文件的获取</w:t>
      </w:r>
    </w:p>
    <w:p w14:paraId="743437E8">
      <w:pPr>
        <w:autoSpaceDE w:val="0"/>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自2024年9月20日起至2024年9月23日</w:t>
      </w:r>
      <w:r>
        <w:rPr>
          <w:rFonts w:hint="eastAsia" w:ascii="仿宋" w:hAnsi="仿宋" w:eastAsia="仿宋" w:cs="仿宋"/>
          <w:color w:val="auto"/>
          <w:sz w:val="24"/>
          <w:szCs w:val="24"/>
          <w:lang w:val="en-US" w:eastAsia="zh-CN"/>
        </w:rPr>
        <w:t>，每天上午9：00至11：00</w:t>
      </w:r>
      <w:r>
        <w:rPr>
          <w:rFonts w:hint="eastAsia" w:ascii="仿宋" w:hAnsi="仿宋" w:eastAsia="仿宋" w:cs="仿宋"/>
          <w:color w:val="auto"/>
          <w:sz w:val="24"/>
          <w:szCs w:val="24"/>
          <w:highlight w:val="none"/>
        </w:rPr>
        <w:t>，下午14：00至1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：00（北京时间，节假日除外，下同）；</w:t>
      </w:r>
    </w:p>
    <w:p w14:paraId="7E3B5BDD">
      <w:pPr>
        <w:spacing w:line="460" w:lineRule="exact"/>
        <w:ind w:firstLine="480" w:firstLineChars="200"/>
        <w:rPr>
          <w:rFonts w:hint="eastAsia" w:ascii="仿宋" w:hAnsi="Times New Roman" w:eastAsia="仿宋" w:cs="仿宋_GB2312"/>
          <w:color w:val="auto"/>
          <w:sz w:val="24"/>
          <w:szCs w:val="24"/>
          <w:highlight w:val="none"/>
          <w:lang w:val="en-US" w:eastAsia="zh-CN"/>
        </w:rPr>
      </w:pPr>
      <w:r>
        <w:rPr>
          <w:rFonts w:hint="eastAsia" w:ascii="仿宋" w:hAnsi="Times New Roman" w:eastAsia="仿宋" w:cs="仿宋_GB2312"/>
          <w:color w:val="auto"/>
          <w:sz w:val="24"/>
          <w:szCs w:val="24"/>
          <w:highlight w:val="none"/>
          <w:lang w:val="en-US" w:eastAsia="zh-CN"/>
        </w:rPr>
        <w:t>地点：青岛市城阳区河东路378号汇智园1号楼403室。</w:t>
      </w:r>
    </w:p>
    <w:p w14:paraId="3FAB1F50">
      <w:pPr>
        <w:spacing w:line="360" w:lineRule="auto"/>
        <w:ind w:firstLine="424" w:firstLineChars="177"/>
        <w:rPr>
          <w:rFonts w:hint="eastAsia" w:ascii="仿宋" w:hAnsi="仿宋" w:eastAsia="仿宋" w:cs="仿宋"/>
          <w:color w:val="auto"/>
          <w:sz w:val="24"/>
          <w:szCs w:val="24"/>
          <w:highlight w:val="none"/>
        </w:rPr>
      </w:pPr>
      <w:r>
        <w:rPr>
          <w:rFonts w:hint="eastAsia" w:ascii="仿宋" w:hAnsi="Times New Roman" w:eastAsia="仿宋" w:cs="仿宋_GB2312"/>
          <w:color w:val="auto"/>
          <w:sz w:val="24"/>
          <w:szCs w:val="24"/>
          <w:highlight w:val="none"/>
          <w:lang w:val="en-US" w:eastAsia="zh-CN"/>
        </w:rPr>
        <w:t>获取方式：自行领取。通过资格预审的潜在投标人，在获取采购文件时间内，携带加盖投标人公章的资格审查资料，按照上述时间、地点获取采购文件。</w:t>
      </w:r>
    </w:p>
    <w:p w14:paraId="107DDC13">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未按规定获取的</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不受法律保护，由此引起的一切后果，供应商自负。</w:t>
      </w:r>
    </w:p>
    <w:p w14:paraId="6950E5A9">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地址及售价：</w:t>
      </w:r>
      <w:r>
        <w:rPr>
          <w:rFonts w:hint="eastAsia" w:ascii="仿宋" w:hAnsi="Times New Roman" w:eastAsia="仿宋" w:cs="仿宋_GB2312"/>
          <w:color w:val="auto"/>
          <w:sz w:val="24"/>
          <w:szCs w:val="24"/>
          <w:highlight w:val="none"/>
          <w:lang w:val="en-US" w:eastAsia="zh-CN"/>
        </w:rPr>
        <w:t>青岛市城阳区河东路378号汇智园1号楼403室。</w:t>
      </w:r>
    </w:p>
    <w:p w14:paraId="0832D2FC">
      <w:pPr>
        <w:spacing w:line="360" w:lineRule="auto"/>
        <w:ind w:firstLine="424" w:firstLineChars="177"/>
        <w:rPr>
          <w:rFonts w:hint="eastAsia" w:ascii="仿宋" w:hAnsi="Times New Roman" w:eastAsia="仿宋" w:cs="仿宋_GB2312"/>
          <w:color w:val="auto"/>
          <w:sz w:val="24"/>
          <w:szCs w:val="24"/>
          <w:highlight w:val="none"/>
          <w:lang w:val="en-US" w:eastAsia="zh-CN"/>
        </w:rPr>
      </w:pPr>
      <w:r>
        <w:rPr>
          <w:rFonts w:hint="eastAsia" w:ascii="仿宋" w:hAnsi="Times New Roman" w:eastAsia="仿宋" w:cs="仿宋_GB2312"/>
          <w:color w:val="auto"/>
          <w:sz w:val="24"/>
          <w:szCs w:val="24"/>
          <w:highlight w:val="none"/>
          <w:lang w:val="en-US" w:eastAsia="zh-CN"/>
        </w:rPr>
        <w:t>每套300元整人民币,</w:t>
      </w:r>
      <w:r>
        <w:rPr>
          <w:rFonts w:hint="eastAsia" w:ascii="仿宋" w:eastAsia="仿宋" w:cs="仿宋_GB2312"/>
          <w:color w:val="auto"/>
          <w:sz w:val="24"/>
          <w:szCs w:val="24"/>
          <w:highlight w:val="none"/>
          <w:lang w:val="en-US" w:eastAsia="zh-CN"/>
        </w:rPr>
        <w:t>除资格预审不通过退回外，其他原因售后不退；（</w:t>
      </w:r>
      <w:r>
        <w:rPr>
          <w:rFonts w:hint="eastAsia" w:ascii="仿宋" w:hAnsi="Times New Roman" w:eastAsia="仿宋" w:cs="仿宋_GB2312"/>
          <w:color w:val="auto"/>
          <w:sz w:val="24"/>
          <w:szCs w:val="24"/>
          <w:highlight w:val="none"/>
          <w:lang w:val="en-US" w:eastAsia="zh-CN"/>
        </w:rPr>
        <w:t>如需邮购，邮费自负，招标代理机构对邮寄过程中的遗失或者延误不负责任）。</w:t>
      </w:r>
    </w:p>
    <w:p w14:paraId="5E75FDD4">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4"/>
          <w:rFonts w:hint="eastAsia" w:ascii="仿宋" w:hAnsi="仿宋" w:eastAsia="仿宋" w:cs="仿宋"/>
          <w:color w:val="auto"/>
          <w:sz w:val="24"/>
          <w:szCs w:val="24"/>
          <w:highlight w:val="none"/>
        </w:rPr>
      </w:pPr>
      <w:r>
        <w:rPr>
          <w:rStyle w:val="14"/>
          <w:rFonts w:hint="eastAsia" w:ascii="仿宋" w:hAnsi="仿宋" w:eastAsia="仿宋" w:cs="仿宋"/>
          <w:color w:val="auto"/>
          <w:sz w:val="24"/>
          <w:szCs w:val="24"/>
          <w:highlight w:val="none"/>
          <w:lang w:val="en-US" w:eastAsia="zh-CN"/>
        </w:rPr>
        <w:t>8</w:t>
      </w:r>
      <w:r>
        <w:rPr>
          <w:rStyle w:val="14"/>
          <w:rFonts w:hint="eastAsia" w:ascii="仿宋" w:hAnsi="仿宋" w:eastAsia="仿宋" w:cs="仿宋"/>
          <w:color w:val="auto"/>
          <w:sz w:val="24"/>
          <w:szCs w:val="24"/>
          <w:highlight w:val="none"/>
        </w:rPr>
        <w:t>.响应文件递交、截止时间以及地点</w:t>
      </w:r>
    </w:p>
    <w:p w14:paraId="073377E3">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val="en-US" w:eastAsia="zh-CN"/>
        </w:rPr>
        <w:t>2024年9月24日09时30分</w:t>
      </w:r>
    </w:p>
    <w:p w14:paraId="0149C9E6">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yellow"/>
          <w:lang w:val="en-US"/>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.2地点：</w:t>
      </w:r>
      <w:r>
        <w:rPr>
          <w:rFonts w:hint="eastAsia" w:ascii="仿宋" w:hAnsi="Times New Roman" w:eastAsia="仿宋" w:cs="仿宋_GB2312"/>
          <w:color w:val="auto"/>
          <w:sz w:val="24"/>
          <w:szCs w:val="24"/>
          <w:lang w:val="en-US" w:eastAsia="zh-CN"/>
        </w:rPr>
        <w:t>青岛市城阳区聚贤桥路1号，高实集团803室</w:t>
      </w:r>
    </w:p>
    <w:p w14:paraId="6E89DC9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4"/>
          <w:rFonts w:hint="eastAsia" w:ascii="仿宋" w:hAnsi="仿宋" w:eastAsia="仿宋" w:cs="仿宋"/>
          <w:color w:val="auto"/>
          <w:sz w:val="24"/>
          <w:szCs w:val="24"/>
          <w:highlight w:val="none"/>
          <w:u w:val="none"/>
        </w:rPr>
      </w:pPr>
      <w:r>
        <w:rPr>
          <w:rStyle w:val="14"/>
          <w:rFonts w:hint="eastAsia" w:ascii="仿宋" w:hAnsi="仿宋" w:eastAsia="仿宋" w:cs="仿宋"/>
          <w:color w:val="auto"/>
          <w:sz w:val="24"/>
          <w:szCs w:val="24"/>
          <w:highlight w:val="none"/>
          <w:u w:val="none"/>
          <w:lang w:val="en-US" w:eastAsia="zh-CN"/>
        </w:rPr>
        <w:t>9</w:t>
      </w:r>
      <w:r>
        <w:rPr>
          <w:rStyle w:val="14"/>
          <w:rFonts w:hint="eastAsia" w:ascii="仿宋" w:hAnsi="仿宋" w:eastAsia="仿宋" w:cs="仿宋"/>
          <w:color w:val="auto"/>
          <w:sz w:val="24"/>
          <w:szCs w:val="24"/>
          <w:highlight w:val="none"/>
          <w:u w:val="none"/>
        </w:rPr>
        <w:t>.开标时间以及地点</w:t>
      </w:r>
    </w:p>
    <w:p w14:paraId="6B4C37F9">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val="en-US" w:eastAsia="zh-CN"/>
        </w:rPr>
        <w:t>2024年9月24日09时30分</w:t>
      </w:r>
    </w:p>
    <w:p w14:paraId="58D318D3">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yellow"/>
          <w:lang w:val="en-US"/>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.2地点：</w:t>
      </w:r>
      <w:r>
        <w:rPr>
          <w:rFonts w:hint="eastAsia" w:ascii="仿宋" w:hAnsi="Times New Roman" w:eastAsia="仿宋" w:cs="仿宋_GB2312"/>
          <w:color w:val="auto"/>
          <w:sz w:val="24"/>
          <w:szCs w:val="24"/>
          <w:lang w:val="en-US" w:eastAsia="zh-CN"/>
        </w:rPr>
        <w:t>青岛市城阳区聚贤桥路1号，高实集团803室</w:t>
      </w:r>
    </w:p>
    <w:p w14:paraId="79CDF70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4"/>
          <w:rFonts w:hint="eastAsia" w:ascii="仿宋" w:hAnsi="仿宋" w:eastAsia="仿宋" w:cs="仿宋"/>
          <w:color w:val="auto"/>
          <w:sz w:val="24"/>
          <w:szCs w:val="24"/>
          <w:highlight w:val="none"/>
          <w:lang w:eastAsia="zh-CN"/>
        </w:rPr>
      </w:pPr>
      <w:r>
        <w:rPr>
          <w:rStyle w:val="14"/>
          <w:rFonts w:hint="eastAsia" w:ascii="仿宋" w:hAnsi="仿宋" w:eastAsia="仿宋" w:cs="仿宋"/>
          <w:color w:val="auto"/>
          <w:sz w:val="24"/>
          <w:szCs w:val="24"/>
          <w:highlight w:val="none"/>
        </w:rPr>
        <w:t>1</w:t>
      </w:r>
      <w:r>
        <w:rPr>
          <w:rStyle w:val="14"/>
          <w:rFonts w:hint="eastAsia" w:ascii="仿宋" w:hAnsi="仿宋" w:eastAsia="仿宋" w:cs="仿宋"/>
          <w:color w:val="auto"/>
          <w:sz w:val="24"/>
          <w:szCs w:val="24"/>
          <w:highlight w:val="none"/>
          <w:lang w:val="en-US" w:eastAsia="zh-CN"/>
        </w:rPr>
        <w:t>0</w:t>
      </w:r>
      <w:r>
        <w:rPr>
          <w:rStyle w:val="14"/>
          <w:rFonts w:hint="eastAsia" w:ascii="仿宋" w:hAnsi="仿宋" w:eastAsia="仿宋" w:cs="仿宋"/>
          <w:color w:val="auto"/>
          <w:sz w:val="24"/>
          <w:szCs w:val="24"/>
          <w:highlight w:val="none"/>
        </w:rPr>
        <w:t>.联系方式</w:t>
      </w:r>
    </w:p>
    <w:p w14:paraId="6C51353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kern w:val="1"/>
          <w:sz w:val="24"/>
          <w:szCs w:val="24"/>
          <w:highlight w:val="none"/>
        </w:rPr>
        <w:t>1.招标单位：</w:t>
      </w:r>
      <w:bookmarkStart w:id="0" w:name="v_pp_Corp_Zb_1"/>
      <w:bookmarkEnd w:id="0"/>
      <w:r>
        <w:rPr>
          <w:rFonts w:hint="eastAsia" w:ascii="仿宋" w:hAnsi="仿宋" w:eastAsia="仿宋" w:cs="仿宋"/>
          <w:color w:val="auto"/>
          <w:kern w:val="1"/>
          <w:sz w:val="24"/>
          <w:szCs w:val="24"/>
          <w:highlight w:val="none"/>
          <w:lang w:eastAsia="zh-CN"/>
        </w:rPr>
        <w:t>青岛高实置业有限公司</w:t>
      </w:r>
    </w:p>
    <w:p w14:paraId="7850B7F6">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地址：</w:t>
      </w:r>
      <w:bookmarkStart w:id="1" w:name="c_pp_21_"/>
      <w:bookmarkEnd w:id="1"/>
      <w:r>
        <w:rPr>
          <w:rFonts w:hint="eastAsia" w:ascii="仿宋" w:hAnsi="Times New Roman" w:eastAsia="仿宋" w:cs="仿宋_GB2312"/>
          <w:color w:val="auto"/>
          <w:sz w:val="24"/>
          <w:szCs w:val="24"/>
          <w:lang w:val="en-US" w:eastAsia="zh-CN"/>
        </w:rPr>
        <w:t>青岛市城阳区聚贤桥路1号</w:t>
      </w:r>
    </w:p>
    <w:p w14:paraId="555A8FBC">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联系人：</w:t>
      </w:r>
      <w:r>
        <w:rPr>
          <w:rFonts w:hint="eastAsia" w:ascii="仿宋" w:hAnsi="仿宋" w:eastAsia="仿宋" w:cs="仿宋"/>
          <w:color w:val="auto"/>
          <w:sz w:val="24"/>
          <w:szCs w:val="24"/>
          <w:highlight w:val="none"/>
        </w:rPr>
        <w:t>毕雅梦</w:t>
      </w:r>
    </w:p>
    <w:p w14:paraId="6C32CDF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电话：</w:t>
      </w:r>
      <w:r>
        <w:rPr>
          <w:rFonts w:hint="eastAsia" w:ascii="仿宋" w:hAnsi="仿宋" w:eastAsia="仿宋" w:cs="仿宋"/>
          <w:color w:val="auto"/>
          <w:sz w:val="24"/>
          <w:szCs w:val="24"/>
          <w:highlight w:val="none"/>
        </w:rPr>
        <w:t>0532-87816101</w:t>
      </w:r>
      <w:r>
        <w:rPr>
          <w:rFonts w:hint="eastAsia" w:ascii="仿宋" w:hAnsi="仿宋" w:eastAsia="仿宋" w:cs="仿宋"/>
          <w:color w:val="auto"/>
          <w:kern w:val="1"/>
          <w:sz w:val="24"/>
          <w:szCs w:val="24"/>
          <w:highlight w:val="none"/>
          <w:lang w:val="en-US" w:eastAsia="zh-CN"/>
        </w:rPr>
        <w:t xml:space="preserve"> </w:t>
      </w:r>
    </w:p>
    <w:p w14:paraId="3525DC3A">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kern w:val="1"/>
          <w:sz w:val="24"/>
          <w:szCs w:val="24"/>
          <w:highlight w:val="none"/>
        </w:rPr>
        <w:t>2代理机构：</w:t>
      </w:r>
      <w:r>
        <w:rPr>
          <w:rFonts w:hint="eastAsia" w:ascii="仿宋" w:hAnsi="仿宋" w:eastAsia="仿宋" w:cs="仿宋"/>
          <w:color w:val="auto"/>
          <w:sz w:val="24"/>
          <w:szCs w:val="24"/>
        </w:rPr>
        <w:t>山东铭世廷得工程项目管理有限公司</w:t>
      </w:r>
    </w:p>
    <w:p w14:paraId="763A652A">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地址：</w:t>
      </w:r>
      <w:r>
        <w:rPr>
          <w:rFonts w:hint="eastAsia" w:ascii="仿宋" w:hAnsi="仿宋" w:eastAsia="仿宋" w:cs="仿宋"/>
          <w:color w:val="auto"/>
          <w:sz w:val="24"/>
          <w:szCs w:val="24"/>
        </w:rPr>
        <w:t>青岛市城阳区河东路378号汇智园1号楼403室</w:t>
      </w:r>
    </w:p>
    <w:p w14:paraId="0BFF113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联系人：</w:t>
      </w:r>
      <w:r>
        <w:rPr>
          <w:rFonts w:hint="eastAsia" w:ascii="仿宋" w:hAnsi="仿宋" w:eastAsia="仿宋" w:cs="仿宋"/>
          <w:color w:val="auto"/>
          <w:kern w:val="1"/>
          <w:sz w:val="24"/>
          <w:szCs w:val="24"/>
          <w:highlight w:val="none"/>
          <w:lang w:val="en-US" w:eastAsia="zh-CN"/>
        </w:rPr>
        <w:t>李晓珍</w:t>
      </w:r>
    </w:p>
    <w:p w14:paraId="7C3A9334">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val="en-US" w:eastAsia="zh-CN"/>
        </w:rPr>
        <w:sectPr>
          <w:footerReference r:id="rId3" w:type="default"/>
          <w:pgSz w:w="11906" w:h="16838"/>
          <w:pgMar w:top="1440" w:right="1474" w:bottom="1440" w:left="1474" w:header="851" w:footer="992" w:gutter="0"/>
          <w:pgNumType w:fmt="decimal"/>
          <w:cols w:space="425" w:num="1"/>
          <w:docGrid w:type="lines" w:linePitch="312" w:charSpace="0"/>
        </w:sectPr>
      </w:pPr>
      <w:r>
        <w:rPr>
          <w:rFonts w:hint="eastAsia" w:ascii="仿宋" w:hAnsi="仿宋" w:eastAsia="仿宋" w:cs="仿宋"/>
          <w:color w:val="auto"/>
          <w:kern w:val="1"/>
          <w:sz w:val="24"/>
          <w:szCs w:val="24"/>
          <w:highlight w:val="none"/>
        </w:rPr>
        <w:t>电话：</w:t>
      </w:r>
      <w:r>
        <w:rPr>
          <w:rFonts w:hint="eastAsia" w:ascii="仿宋" w:hAnsi="仿宋" w:eastAsia="仿宋" w:cs="仿宋"/>
          <w:color w:val="auto"/>
          <w:kern w:val="1"/>
          <w:sz w:val="24"/>
          <w:szCs w:val="24"/>
          <w:highlight w:val="none"/>
          <w:lang w:val="en-US" w:eastAsia="zh-CN"/>
        </w:rPr>
        <w:t>15169525521</w:t>
      </w:r>
    </w:p>
    <w:p w14:paraId="379750EE">
      <w:pPr>
        <w:spacing w:after="312" w:afterLines="100"/>
        <w:jc w:val="center"/>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评审办法</w:t>
      </w:r>
    </w:p>
    <w:p w14:paraId="3EB6814B">
      <w:pPr>
        <w:spacing w:after="156" w:afterLines="50" w:line="360" w:lineRule="auto"/>
        <w:ind w:firstLine="560" w:firstLineChars="200"/>
        <w:outlineLvl w:val="1"/>
        <w:rPr>
          <w:rFonts w:hint="eastAsia" w:ascii="仿宋" w:hAnsi="仿宋" w:eastAsia="仿宋" w:cs="仿宋"/>
          <w:color w:val="auto"/>
          <w:sz w:val="28"/>
          <w:szCs w:val="28"/>
          <w:highlight w:val="none"/>
        </w:rPr>
      </w:pPr>
      <w:bookmarkStart w:id="2" w:name="_Toc519082493"/>
      <w:bookmarkStart w:id="3" w:name="_Toc160109087"/>
      <w:bookmarkStart w:id="4" w:name="_Toc160095818"/>
      <w:r>
        <w:rPr>
          <w:rFonts w:hint="eastAsia" w:ascii="仿宋" w:hAnsi="仿宋" w:eastAsia="仿宋" w:cs="仿宋"/>
          <w:color w:val="auto"/>
          <w:sz w:val="28"/>
          <w:szCs w:val="28"/>
          <w:highlight w:val="none"/>
        </w:rPr>
        <w:t>1.相关要求</w:t>
      </w:r>
      <w:bookmarkEnd w:id="2"/>
      <w:bookmarkEnd w:id="3"/>
      <w:bookmarkEnd w:id="4"/>
    </w:p>
    <w:p w14:paraId="01D7D738">
      <w:pPr>
        <w:spacing w:line="400" w:lineRule="exact"/>
        <w:ind w:firstLine="480" w:firstLineChars="200"/>
        <w:rPr>
          <w:rFonts w:hint="eastAsia" w:ascii="仿宋" w:hAnsi="仿宋" w:eastAsia="仿宋" w:cs="仿宋"/>
          <w:color w:val="auto"/>
          <w:sz w:val="24"/>
          <w:szCs w:val="24"/>
          <w:highlight w:val="none"/>
        </w:rPr>
      </w:pPr>
      <w:bookmarkStart w:id="5" w:name="_Toc494455918"/>
      <w:bookmarkStart w:id="6" w:name="_Toc519082494"/>
      <w:r>
        <w:rPr>
          <w:rFonts w:hint="eastAsia" w:ascii="仿宋" w:hAnsi="仿宋" w:eastAsia="仿宋" w:cs="仿宋"/>
          <w:color w:val="auto"/>
          <w:sz w:val="24"/>
          <w:szCs w:val="24"/>
          <w:highlight w:val="none"/>
        </w:rPr>
        <w:t>1.1技术汇总得分的计算方法：</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成员技术评分的算术平均值。</w:t>
      </w:r>
    </w:p>
    <w:p w14:paraId="0A21812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1.2评分得分非整数的保留小数点后两位（小数点后第三位数四舍五入）。</w:t>
      </w:r>
    </w:p>
    <w:p w14:paraId="02C1980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highlight w:val="none"/>
        </w:rPr>
        <w:t>响应报价以不含税总价价格为准计算得分。</w:t>
      </w:r>
    </w:p>
    <w:p w14:paraId="4C47BC4C">
      <w:pPr>
        <w:pStyle w:val="2"/>
        <w:ind w:firstLine="420" w:firstLineChars="150"/>
        <w:jc w:val="left"/>
        <w:rPr>
          <w:rFonts w:hint="eastAsia" w:ascii="仿宋" w:hAnsi="仿宋" w:eastAsia="仿宋" w:cs="仿宋"/>
          <w:b w:val="0"/>
          <w:bCs w:val="0"/>
          <w:color w:val="auto"/>
          <w:sz w:val="28"/>
          <w:szCs w:val="28"/>
          <w:highlight w:val="none"/>
        </w:rPr>
      </w:pPr>
      <w:bookmarkStart w:id="7" w:name="_Toc160109088"/>
      <w:r>
        <w:rPr>
          <w:rFonts w:hint="eastAsia" w:ascii="仿宋" w:hAnsi="仿宋" w:eastAsia="仿宋" w:cs="仿宋"/>
          <w:b w:val="0"/>
          <w:bCs w:val="0"/>
          <w:color w:val="auto"/>
          <w:sz w:val="28"/>
          <w:szCs w:val="28"/>
          <w:highlight w:val="none"/>
        </w:rPr>
        <w:t>2.评分标准</w:t>
      </w:r>
      <w:bookmarkEnd w:id="5"/>
      <w:bookmarkEnd w:id="6"/>
      <w:bookmarkEnd w:id="7"/>
    </w:p>
    <w:p w14:paraId="5E2C6004">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2.1评分因素以及分值</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521"/>
        <w:gridCol w:w="2548"/>
        <w:gridCol w:w="2834"/>
      </w:tblGrid>
      <w:tr w14:paraId="4CDB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86" w:type="dxa"/>
            <w:noWrap w:val="0"/>
            <w:vAlign w:val="center"/>
          </w:tcPr>
          <w:p w14:paraId="20FF271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评分因素</w:t>
            </w:r>
          </w:p>
        </w:tc>
        <w:tc>
          <w:tcPr>
            <w:tcW w:w="2521" w:type="dxa"/>
            <w:noWrap w:val="0"/>
            <w:vAlign w:val="center"/>
          </w:tcPr>
          <w:p w14:paraId="0E13C739">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商务部分</w:t>
            </w:r>
          </w:p>
        </w:tc>
        <w:tc>
          <w:tcPr>
            <w:tcW w:w="2548" w:type="dxa"/>
            <w:noWrap w:val="0"/>
            <w:vAlign w:val="center"/>
          </w:tcPr>
          <w:p w14:paraId="282917A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技术部分</w:t>
            </w:r>
          </w:p>
        </w:tc>
        <w:tc>
          <w:tcPr>
            <w:tcW w:w="2834" w:type="dxa"/>
            <w:noWrap w:val="0"/>
            <w:vAlign w:val="center"/>
          </w:tcPr>
          <w:p w14:paraId="1F03F78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总分</w:t>
            </w:r>
          </w:p>
        </w:tc>
      </w:tr>
      <w:tr w14:paraId="61CA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86" w:type="dxa"/>
            <w:noWrap w:val="0"/>
            <w:vAlign w:val="center"/>
          </w:tcPr>
          <w:p w14:paraId="24C9C80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分值比重</w:t>
            </w:r>
          </w:p>
        </w:tc>
        <w:tc>
          <w:tcPr>
            <w:tcW w:w="2521" w:type="dxa"/>
            <w:noWrap w:val="0"/>
            <w:vAlign w:val="center"/>
          </w:tcPr>
          <w:p w14:paraId="675146B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0分</w:t>
            </w:r>
          </w:p>
        </w:tc>
        <w:tc>
          <w:tcPr>
            <w:tcW w:w="2548" w:type="dxa"/>
            <w:noWrap w:val="0"/>
            <w:vAlign w:val="center"/>
          </w:tcPr>
          <w:p w14:paraId="004474D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分</w:t>
            </w:r>
          </w:p>
        </w:tc>
        <w:tc>
          <w:tcPr>
            <w:tcW w:w="2834" w:type="dxa"/>
            <w:noWrap w:val="0"/>
            <w:vAlign w:val="center"/>
          </w:tcPr>
          <w:p w14:paraId="3260FA4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100分</w:t>
            </w:r>
          </w:p>
        </w:tc>
      </w:tr>
    </w:tbl>
    <w:p w14:paraId="48E63E60">
      <w:pPr>
        <w:rPr>
          <w:rFonts w:hint="eastAsia" w:ascii="仿宋" w:hAnsi="仿宋" w:eastAsia="仿宋" w:cs="仿宋"/>
          <w:color w:val="auto"/>
          <w:sz w:val="24"/>
          <w:highlight w:val="none"/>
        </w:rPr>
      </w:pPr>
      <w:r>
        <w:rPr>
          <w:rFonts w:hint="eastAsia" w:ascii="仿宋" w:hAnsi="仿宋" w:eastAsia="仿宋" w:cs="仿宋"/>
          <w:color w:val="auto"/>
          <w:sz w:val="24"/>
          <w:highlight w:val="none"/>
        </w:rPr>
        <w:t>2.2商务部分</w:t>
      </w:r>
    </w:p>
    <w:tbl>
      <w:tblPr>
        <w:tblStyle w:val="9"/>
        <w:tblW w:w="9923"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75"/>
        <w:gridCol w:w="896"/>
        <w:gridCol w:w="7452"/>
      </w:tblGrid>
      <w:tr w14:paraId="125EE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1575" w:type="dxa"/>
            <w:noWrap/>
            <w:vAlign w:val="center"/>
          </w:tcPr>
          <w:p w14:paraId="3B7E819C">
            <w:pPr>
              <w:jc w:val="center"/>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评审项目</w:t>
            </w:r>
          </w:p>
        </w:tc>
        <w:tc>
          <w:tcPr>
            <w:tcW w:w="896" w:type="dxa"/>
            <w:noWrap/>
            <w:vAlign w:val="center"/>
          </w:tcPr>
          <w:p w14:paraId="71E39F7F">
            <w:pPr>
              <w:jc w:val="center"/>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分数</w:t>
            </w:r>
          </w:p>
        </w:tc>
        <w:tc>
          <w:tcPr>
            <w:tcW w:w="7452" w:type="dxa"/>
            <w:noWrap/>
            <w:vAlign w:val="center"/>
          </w:tcPr>
          <w:p w14:paraId="4BF762BB">
            <w:pPr>
              <w:jc w:val="center"/>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评分标准</w:t>
            </w:r>
          </w:p>
        </w:tc>
      </w:tr>
      <w:tr w14:paraId="4AA9E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2" w:hRule="atLeast"/>
        </w:trPr>
        <w:tc>
          <w:tcPr>
            <w:tcW w:w="1575" w:type="dxa"/>
            <w:noWrap/>
            <w:vAlign w:val="center"/>
          </w:tcPr>
          <w:p w14:paraId="6EDD0C1D">
            <w:pPr>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响应报价</w:t>
            </w:r>
          </w:p>
        </w:tc>
        <w:tc>
          <w:tcPr>
            <w:tcW w:w="896" w:type="dxa"/>
            <w:noWrap/>
            <w:vAlign w:val="center"/>
          </w:tcPr>
          <w:p w14:paraId="74775D54">
            <w:pPr>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lang w:val="zh-CN"/>
              </w:rPr>
              <w:t>分</w:t>
            </w:r>
          </w:p>
        </w:tc>
        <w:tc>
          <w:tcPr>
            <w:tcW w:w="7452" w:type="dxa"/>
            <w:noWrap/>
            <w:vAlign w:val="center"/>
          </w:tcPr>
          <w:p w14:paraId="54CF0D3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评标基准价=所有有效标书响应报价(或最终价格)中的最低响应报价。</w:t>
            </w:r>
          </w:p>
          <w:p w14:paraId="17AC3CB5">
            <w:pP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highlight w:val="none"/>
              </w:rPr>
              <w:t>最终报价得分=评标基准价÷（响应报价或者最终价格）×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lang w:eastAsia="zh-CN"/>
              </w:rPr>
              <w:t>。</w:t>
            </w:r>
          </w:p>
        </w:tc>
      </w:tr>
    </w:tbl>
    <w:p w14:paraId="331EA09B">
      <w:pPr>
        <w:rPr>
          <w:rFonts w:hint="eastAsia" w:ascii="仿宋" w:hAnsi="仿宋" w:eastAsia="仿宋" w:cs="仿宋"/>
          <w:color w:val="auto"/>
          <w:sz w:val="24"/>
          <w:highlight w:val="none"/>
        </w:rPr>
      </w:pPr>
      <w:r>
        <w:rPr>
          <w:rFonts w:hint="eastAsia" w:ascii="仿宋" w:hAnsi="仿宋" w:eastAsia="仿宋" w:cs="仿宋"/>
          <w:color w:val="auto"/>
          <w:sz w:val="24"/>
          <w:highlight w:val="none"/>
        </w:rPr>
        <w:t>2.3技术部分</w:t>
      </w:r>
    </w:p>
    <w:tbl>
      <w:tblPr>
        <w:tblStyle w:val="9"/>
        <w:tblpPr w:leftFromText="180" w:rightFromText="180" w:vertAnchor="text" w:horzAnchor="page" w:tblpX="1501" w:tblpY="339"/>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777"/>
        <w:gridCol w:w="7430"/>
      </w:tblGrid>
      <w:tr w14:paraId="6684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682" w:type="dxa"/>
            <w:tcBorders>
              <w:top w:val="single" w:color="auto" w:sz="6" w:space="0"/>
              <w:left w:val="single" w:color="auto" w:sz="6" w:space="0"/>
              <w:bottom w:val="single" w:color="auto" w:sz="6" w:space="0"/>
              <w:right w:val="single" w:color="auto" w:sz="6" w:space="0"/>
            </w:tcBorders>
            <w:noWrap/>
            <w:vAlign w:val="center"/>
          </w:tcPr>
          <w:p w14:paraId="30F4366E">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zh-CN"/>
              </w:rPr>
              <w:t>评审项目</w:t>
            </w:r>
          </w:p>
        </w:tc>
        <w:tc>
          <w:tcPr>
            <w:tcW w:w="777" w:type="dxa"/>
            <w:tcBorders>
              <w:top w:val="single" w:color="auto" w:sz="6" w:space="0"/>
              <w:left w:val="single" w:color="auto" w:sz="6" w:space="0"/>
              <w:bottom w:val="single" w:color="auto" w:sz="6" w:space="0"/>
              <w:right w:val="single" w:color="auto" w:sz="6" w:space="0"/>
            </w:tcBorders>
            <w:noWrap/>
            <w:vAlign w:val="center"/>
          </w:tcPr>
          <w:p w14:paraId="67EFD96F">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zh-CN"/>
              </w:rPr>
              <w:t>分数</w:t>
            </w:r>
          </w:p>
        </w:tc>
        <w:tc>
          <w:tcPr>
            <w:tcW w:w="7430" w:type="dxa"/>
            <w:tcBorders>
              <w:top w:val="single" w:color="auto" w:sz="6" w:space="0"/>
              <w:left w:val="single" w:color="auto" w:sz="6" w:space="0"/>
              <w:bottom w:val="single" w:color="auto" w:sz="6" w:space="0"/>
              <w:right w:val="single" w:color="auto" w:sz="6" w:space="0"/>
            </w:tcBorders>
            <w:noWrap/>
            <w:vAlign w:val="center"/>
          </w:tcPr>
          <w:p w14:paraId="2D9ED51C">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zh-CN"/>
              </w:rPr>
              <w:t>评分标准</w:t>
            </w:r>
          </w:p>
        </w:tc>
      </w:tr>
      <w:tr w14:paraId="120F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82" w:type="dxa"/>
            <w:tcBorders>
              <w:top w:val="single" w:color="auto" w:sz="6" w:space="0"/>
              <w:left w:val="single" w:color="auto" w:sz="6" w:space="0"/>
              <w:bottom w:val="single" w:color="auto" w:sz="6" w:space="0"/>
              <w:right w:val="single" w:color="auto" w:sz="6" w:space="0"/>
            </w:tcBorders>
            <w:noWrap/>
            <w:vAlign w:val="center"/>
          </w:tcPr>
          <w:p w14:paraId="2FC69F3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项目关键点、难点</w:t>
            </w:r>
          </w:p>
        </w:tc>
        <w:tc>
          <w:tcPr>
            <w:tcW w:w="777" w:type="dxa"/>
            <w:tcBorders>
              <w:top w:val="single" w:color="auto" w:sz="6" w:space="0"/>
              <w:left w:val="single" w:color="auto" w:sz="6" w:space="0"/>
              <w:bottom w:val="single" w:color="auto" w:sz="6" w:space="0"/>
              <w:right w:val="single" w:color="auto" w:sz="6" w:space="0"/>
            </w:tcBorders>
            <w:noWrap/>
            <w:vAlign w:val="center"/>
          </w:tcPr>
          <w:p w14:paraId="5EB621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w:t>
            </w:r>
          </w:p>
        </w:tc>
        <w:tc>
          <w:tcPr>
            <w:tcW w:w="7430" w:type="dxa"/>
            <w:tcBorders>
              <w:top w:val="single" w:color="auto" w:sz="6" w:space="0"/>
              <w:left w:val="single" w:color="auto" w:sz="6" w:space="0"/>
              <w:bottom w:val="single" w:color="auto" w:sz="6" w:space="0"/>
              <w:right w:val="single" w:color="auto" w:sz="6" w:space="0"/>
            </w:tcBorders>
            <w:noWrap/>
            <w:vAlign w:val="center"/>
          </w:tcPr>
          <w:p w14:paraId="58474E72">
            <w:pPr>
              <w:pStyle w:val="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项目关键点、难点的理解及质量检测对策，内容全面完善、合理可行、清晰明确得10分；对关键点、难点的理解及质量检测对策较为完善、合理、明确得7分；对项目关键点、难点的理解及质量检测对策缺乏可行性描述含糊一般的得4分。</w:t>
            </w:r>
          </w:p>
        </w:tc>
      </w:tr>
      <w:tr w14:paraId="60DA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682" w:type="dxa"/>
            <w:tcBorders>
              <w:top w:val="single" w:color="auto" w:sz="6" w:space="0"/>
              <w:left w:val="single" w:color="auto" w:sz="6" w:space="0"/>
              <w:bottom w:val="single" w:color="auto" w:sz="6" w:space="0"/>
              <w:right w:val="single" w:color="auto" w:sz="6" w:space="0"/>
            </w:tcBorders>
            <w:noWrap/>
            <w:vAlign w:val="center"/>
          </w:tcPr>
          <w:p w14:paraId="3058DB7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检测方案</w:t>
            </w:r>
          </w:p>
        </w:tc>
        <w:tc>
          <w:tcPr>
            <w:tcW w:w="777" w:type="dxa"/>
            <w:tcBorders>
              <w:top w:val="single" w:color="auto" w:sz="6" w:space="0"/>
              <w:left w:val="single" w:color="auto" w:sz="6" w:space="0"/>
              <w:bottom w:val="single" w:color="auto" w:sz="6" w:space="0"/>
              <w:right w:val="single" w:color="auto" w:sz="6" w:space="0"/>
            </w:tcBorders>
            <w:noWrap/>
            <w:vAlign w:val="center"/>
          </w:tcPr>
          <w:p w14:paraId="0B13687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w:t>
            </w:r>
          </w:p>
        </w:tc>
        <w:tc>
          <w:tcPr>
            <w:tcW w:w="7430" w:type="dxa"/>
            <w:tcBorders>
              <w:top w:val="single" w:color="auto" w:sz="6" w:space="0"/>
              <w:left w:val="single" w:color="auto" w:sz="6" w:space="0"/>
              <w:bottom w:val="single" w:color="auto" w:sz="6" w:space="0"/>
              <w:right w:val="single" w:color="auto" w:sz="6" w:space="0"/>
            </w:tcBorders>
            <w:noWrap/>
            <w:vAlign w:val="center"/>
          </w:tcPr>
          <w:p w14:paraId="43D42C5A">
            <w:pPr>
              <w:pStyle w:val="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检测方案内容完整合理，可操作性强的得10分；检测方案内容较为完整合理、可操作性一般的得7分；检测方案内容完整合理但可操作性差得4分；</w:t>
            </w:r>
          </w:p>
        </w:tc>
      </w:tr>
      <w:tr w14:paraId="5AE0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682" w:type="dxa"/>
            <w:tcBorders>
              <w:top w:val="single" w:color="auto" w:sz="6" w:space="0"/>
              <w:left w:val="single" w:color="auto" w:sz="6" w:space="0"/>
              <w:bottom w:val="single" w:color="auto" w:sz="6" w:space="0"/>
              <w:right w:val="single" w:color="auto" w:sz="6" w:space="0"/>
            </w:tcBorders>
            <w:noWrap/>
            <w:vAlign w:val="center"/>
          </w:tcPr>
          <w:p w14:paraId="54BEA511">
            <w:pPr>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进度保证措施</w:t>
            </w:r>
          </w:p>
        </w:tc>
        <w:tc>
          <w:tcPr>
            <w:tcW w:w="777" w:type="dxa"/>
            <w:tcBorders>
              <w:top w:val="single" w:color="auto" w:sz="6" w:space="0"/>
              <w:left w:val="single" w:color="auto" w:sz="6" w:space="0"/>
              <w:bottom w:val="single" w:color="auto" w:sz="6" w:space="0"/>
              <w:right w:val="single" w:color="auto" w:sz="6" w:space="0"/>
            </w:tcBorders>
            <w:noWrap/>
            <w:vAlign w:val="center"/>
          </w:tcPr>
          <w:p w14:paraId="304A014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430" w:type="dxa"/>
            <w:tcBorders>
              <w:top w:val="single" w:color="auto" w:sz="6" w:space="0"/>
              <w:left w:val="single" w:color="auto" w:sz="6" w:space="0"/>
              <w:bottom w:val="single" w:color="auto" w:sz="6" w:space="0"/>
              <w:right w:val="single" w:color="auto" w:sz="6" w:space="0"/>
            </w:tcBorders>
            <w:noWrap/>
            <w:vAlign w:val="center"/>
          </w:tcPr>
          <w:p w14:paraId="1CDC4EA6">
            <w:pPr>
              <w:pStyle w:val="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各项进度保证措施全面、合理可行，能够保证高效按期完成检测工作得10分；各项进度保证措施较为全面合理，按期完成检测工作得7分；各项进度保证措施完整合理但可实施性一般得4分。</w:t>
            </w:r>
          </w:p>
        </w:tc>
      </w:tr>
      <w:tr w14:paraId="081E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682" w:type="dxa"/>
            <w:tcBorders>
              <w:top w:val="single" w:color="auto" w:sz="6" w:space="0"/>
              <w:left w:val="single" w:color="auto" w:sz="6" w:space="0"/>
              <w:bottom w:val="single" w:color="auto" w:sz="6" w:space="0"/>
              <w:right w:val="single" w:color="auto" w:sz="6" w:space="0"/>
            </w:tcBorders>
            <w:noWrap/>
            <w:vAlign w:val="center"/>
          </w:tcPr>
          <w:p w14:paraId="7EFFE6B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检测设备</w:t>
            </w:r>
          </w:p>
        </w:tc>
        <w:tc>
          <w:tcPr>
            <w:tcW w:w="777" w:type="dxa"/>
            <w:tcBorders>
              <w:top w:val="single" w:color="auto" w:sz="6" w:space="0"/>
              <w:left w:val="single" w:color="auto" w:sz="6" w:space="0"/>
              <w:bottom w:val="single" w:color="auto" w:sz="6" w:space="0"/>
              <w:right w:val="single" w:color="auto" w:sz="6" w:space="0"/>
            </w:tcBorders>
            <w:noWrap/>
            <w:vAlign w:val="center"/>
          </w:tcPr>
          <w:p w14:paraId="65AADF8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w:t>
            </w:r>
          </w:p>
        </w:tc>
        <w:tc>
          <w:tcPr>
            <w:tcW w:w="7430" w:type="dxa"/>
            <w:tcBorders>
              <w:top w:val="single" w:color="auto" w:sz="6" w:space="0"/>
              <w:left w:val="single" w:color="auto" w:sz="6" w:space="0"/>
              <w:bottom w:val="single" w:color="auto" w:sz="6" w:space="0"/>
              <w:right w:val="single" w:color="auto" w:sz="6" w:space="0"/>
            </w:tcBorders>
            <w:noWrap/>
            <w:vAlign w:val="center"/>
          </w:tcPr>
          <w:p w14:paraId="14C8F729">
            <w:pPr>
              <w:pStyle w:val="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检测设备完善、齐全、满足检测工作需要得10分；检测设备较为完善、较为齐全、基本满足检测工作需要得7分；检测设备不足、不满足检测工作需要得4分。</w:t>
            </w:r>
          </w:p>
        </w:tc>
      </w:tr>
      <w:tr w14:paraId="67BC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682" w:type="dxa"/>
            <w:tcBorders>
              <w:top w:val="single" w:color="auto" w:sz="6" w:space="0"/>
              <w:left w:val="single" w:color="auto" w:sz="6" w:space="0"/>
              <w:bottom w:val="single" w:color="auto" w:sz="6" w:space="0"/>
              <w:right w:val="single" w:color="auto" w:sz="6" w:space="0"/>
            </w:tcBorders>
            <w:noWrap/>
            <w:vAlign w:val="center"/>
          </w:tcPr>
          <w:p w14:paraId="2D1ACB68">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工作制度</w:t>
            </w:r>
          </w:p>
        </w:tc>
        <w:tc>
          <w:tcPr>
            <w:tcW w:w="777" w:type="dxa"/>
            <w:tcBorders>
              <w:top w:val="single" w:color="auto" w:sz="6" w:space="0"/>
              <w:left w:val="single" w:color="auto" w:sz="6" w:space="0"/>
              <w:bottom w:val="single" w:color="auto" w:sz="6" w:space="0"/>
              <w:right w:val="single" w:color="auto" w:sz="6" w:space="0"/>
            </w:tcBorders>
            <w:noWrap/>
            <w:vAlign w:val="center"/>
          </w:tcPr>
          <w:p w14:paraId="298E3DD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w:t>
            </w:r>
          </w:p>
        </w:tc>
        <w:tc>
          <w:tcPr>
            <w:tcW w:w="7430" w:type="dxa"/>
            <w:tcBorders>
              <w:top w:val="single" w:color="auto" w:sz="6" w:space="0"/>
              <w:left w:val="single" w:color="auto" w:sz="6" w:space="0"/>
              <w:bottom w:val="single" w:color="auto" w:sz="6" w:space="0"/>
              <w:right w:val="single" w:color="auto" w:sz="6" w:space="0"/>
            </w:tcBorders>
            <w:noWrap/>
            <w:vAlign w:val="center"/>
          </w:tcPr>
          <w:p w14:paraId="6D6873BF">
            <w:pPr>
              <w:pStyle w:val="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对项目检测的监控制度等各项制度，制度健全完善得10分；对项目检测的监控制度等各项制度，制度较为完善、较为合理得7分；对项目检测的度控制度等各项制度一般且实施困难的得4分。</w:t>
            </w:r>
          </w:p>
        </w:tc>
      </w:tr>
      <w:tr w14:paraId="7335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682" w:type="dxa"/>
            <w:tcBorders>
              <w:top w:val="single" w:color="auto" w:sz="6" w:space="0"/>
              <w:left w:val="single" w:color="auto" w:sz="6" w:space="0"/>
              <w:bottom w:val="single" w:color="auto" w:sz="6" w:space="0"/>
              <w:right w:val="single" w:color="auto" w:sz="6" w:space="0"/>
            </w:tcBorders>
            <w:noWrap/>
            <w:vAlign w:val="center"/>
          </w:tcPr>
          <w:p w14:paraId="39BD356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质量控制、质量保障</w:t>
            </w:r>
          </w:p>
        </w:tc>
        <w:tc>
          <w:tcPr>
            <w:tcW w:w="777" w:type="dxa"/>
            <w:tcBorders>
              <w:top w:val="single" w:color="auto" w:sz="6" w:space="0"/>
              <w:left w:val="single" w:color="auto" w:sz="6" w:space="0"/>
              <w:bottom w:val="single" w:color="auto" w:sz="6" w:space="0"/>
              <w:right w:val="single" w:color="auto" w:sz="6" w:space="0"/>
            </w:tcBorders>
            <w:noWrap/>
            <w:vAlign w:val="center"/>
          </w:tcPr>
          <w:p w14:paraId="672F461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eastAsia="zh-CN"/>
              </w:rPr>
              <w:t>分</w:t>
            </w:r>
          </w:p>
        </w:tc>
        <w:tc>
          <w:tcPr>
            <w:tcW w:w="7430" w:type="dxa"/>
            <w:tcBorders>
              <w:top w:val="single" w:color="auto" w:sz="6" w:space="0"/>
              <w:left w:val="single" w:color="auto" w:sz="6" w:space="0"/>
              <w:bottom w:val="single" w:color="auto" w:sz="6" w:space="0"/>
              <w:right w:val="single" w:color="auto" w:sz="6" w:space="0"/>
            </w:tcBorders>
            <w:noWrap/>
            <w:vAlign w:val="center"/>
          </w:tcPr>
          <w:p w14:paraId="336AD70E">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证体系健全，质量控制措施切实可行、有针对本项目特点的详细可行预控措施，能够保证项目高质量完成得10分；质量保证体系基本健全，质量控制措施可行并能够保证质量得7分；质量保证体系不完善，质量控制措施一般得4分。</w:t>
            </w:r>
          </w:p>
        </w:tc>
      </w:tr>
      <w:tr w14:paraId="4DF3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682" w:type="dxa"/>
            <w:tcBorders>
              <w:top w:val="single" w:color="auto" w:sz="6" w:space="0"/>
              <w:left w:val="single" w:color="auto" w:sz="6" w:space="0"/>
              <w:bottom w:val="single" w:color="auto" w:sz="6" w:space="0"/>
              <w:right w:val="single" w:color="auto" w:sz="6" w:space="0"/>
            </w:tcBorders>
            <w:noWrap/>
            <w:vAlign w:val="center"/>
          </w:tcPr>
          <w:p w14:paraId="7B782F7B">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成果检测</w:t>
            </w:r>
          </w:p>
        </w:tc>
        <w:tc>
          <w:tcPr>
            <w:tcW w:w="777" w:type="dxa"/>
            <w:tcBorders>
              <w:top w:val="single" w:color="auto" w:sz="6" w:space="0"/>
              <w:left w:val="single" w:color="auto" w:sz="6" w:space="0"/>
              <w:bottom w:val="single" w:color="auto" w:sz="6" w:space="0"/>
              <w:right w:val="single" w:color="auto" w:sz="6" w:space="0"/>
            </w:tcBorders>
            <w:noWrap/>
            <w:vAlign w:val="center"/>
          </w:tcPr>
          <w:p w14:paraId="29C22C43">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7430" w:type="dxa"/>
            <w:tcBorders>
              <w:top w:val="single" w:color="auto" w:sz="6" w:space="0"/>
              <w:left w:val="single" w:color="auto" w:sz="6" w:space="0"/>
              <w:bottom w:val="single" w:color="auto" w:sz="6" w:space="0"/>
              <w:right w:val="single" w:color="auto" w:sz="6" w:space="0"/>
            </w:tcBorders>
            <w:noWrap/>
            <w:vAlign w:val="center"/>
          </w:tcPr>
          <w:p w14:paraId="08F4FA11">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供应商为本项目提供的成果检测方案、维护措施进行综合比较，有详细的成果检测方案，且维护措施全面的，得10分；有成果检测方案但不完整、维护措施一般的，得7分；有售后服务方案但不完整、维护措施较差的，得4分；</w:t>
            </w:r>
          </w:p>
        </w:tc>
      </w:tr>
    </w:tbl>
    <w:p w14:paraId="1C373398">
      <w:pPr>
        <w:widowControl/>
        <w:autoSpaceDE w:val="0"/>
        <w:autoSpaceDN w:val="0"/>
        <w:adjustRightInd w:val="0"/>
        <w:spacing w:line="400" w:lineRule="exact"/>
        <w:rPr>
          <w:rFonts w:ascii="仿宋" w:hAnsi="仿宋" w:eastAsia="仿宋"/>
          <w:color w:val="auto"/>
          <w:kern w:val="1"/>
          <w:sz w:val="24"/>
          <w:highlight w:val="none"/>
        </w:rPr>
      </w:pPr>
    </w:p>
    <w:p w14:paraId="024212B9">
      <w:pPr>
        <w:widowControl/>
        <w:autoSpaceDE w:val="0"/>
        <w:autoSpaceDN w:val="0"/>
        <w:adjustRightInd w:val="0"/>
        <w:spacing w:line="400" w:lineRule="exact"/>
        <w:rPr>
          <w:rFonts w:ascii="仿宋" w:hAnsi="仿宋" w:eastAsia="仿宋"/>
          <w:color w:val="auto"/>
          <w:kern w:val="1"/>
          <w:sz w:val="24"/>
          <w:highlight w:val="none"/>
        </w:rPr>
      </w:pPr>
    </w:p>
    <w:p w14:paraId="509AEEBA">
      <w:pPr>
        <w:widowControl/>
        <w:autoSpaceDE w:val="0"/>
        <w:autoSpaceDN w:val="0"/>
        <w:adjustRightInd w:val="0"/>
        <w:spacing w:line="400" w:lineRule="exact"/>
        <w:rPr>
          <w:rFonts w:ascii="仿宋" w:hAnsi="仿宋" w:eastAsia="仿宋"/>
          <w:color w:val="auto"/>
          <w:kern w:val="1"/>
          <w:sz w:val="24"/>
          <w:highlight w:val="none"/>
        </w:rPr>
      </w:pPr>
    </w:p>
    <w:p w14:paraId="37ADAB09">
      <w:pPr>
        <w:widowControl/>
        <w:autoSpaceDE w:val="0"/>
        <w:autoSpaceDN w:val="0"/>
        <w:adjustRightInd w:val="0"/>
        <w:spacing w:line="400" w:lineRule="exact"/>
        <w:rPr>
          <w:rFonts w:ascii="仿宋" w:hAnsi="仿宋" w:eastAsia="仿宋"/>
          <w:color w:val="auto"/>
          <w:kern w:val="1"/>
          <w:sz w:val="24"/>
          <w:highlight w:val="none"/>
        </w:rPr>
      </w:pPr>
    </w:p>
    <w:p w14:paraId="491F132C">
      <w:pPr>
        <w:widowControl/>
        <w:autoSpaceDE w:val="0"/>
        <w:autoSpaceDN w:val="0"/>
        <w:adjustRightInd w:val="0"/>
        <w:spacing w:line="400" w:lineRule="exact"/>
        <w:rPr>
          <w:rFonts w:ascii="仿宋" w:hAnsi="仿宋" w:eastAsia="仿宋"/>
          <w:color w:val="auto"/>
          <w:kern w:val="1"/>
          <w:sz w:val="24"/>
          <w:highlight w:val="none"/>
        </w:rPr>
      </w:pPr>
    </w:p>
    <w:p w14:paraId="7020A6D1">
      <w:pPr>
        <w:widowControl/>
        <w:autoSpaceDE w:val="0"/>
        <w:autoSpaceDN w:val="0"/>
        <w:adjustRightInd w:val="0"/>
        <w:spacing w:line="400" w:lineRule="exact"/>
        <w:rPr>
          <w:rFonts w:ascii="仿宋" w:hAnsi="仿宋" w:eastAsia="仿宋"/>
          <w:color w:val="auto"/>
          <w:kern w:val="1"/>
          <w:sz w:val="24"/>
          <w:highlight w:val="none"/>
        </w:rPr>
      </w:pPr>
    </w:p>
    <w:p w14:paraId="475AFA7A">
      <w:pPr>
        <w:widowControl/>
        <w:autoSpaceDE w:val="0"/>
        <w:autoSpaceDN w:val="0"/>
        <w:adjustRightInd w:val="0"/>
        <w:spacing w:line="400" w:lineRule="exact"/>
        <w:rPr>
          <w:rFonts w:ascii="仿宋" w:hAnsi="仿宋" w:eastAsia="仿宋"/>
          <w:color w:val="auto"/>
          <w:kern w:val="1"/>
          <w:sz w:val="24"/>
          <w:highlight w:val="none"/>
        </w:rPr>
      </w:pPr>
    </w:p>
    <w:p w14:paraId="185B7896">
      <w:pPr>
        <w:widowControl/>
        <w:autoSpaceDE w:val="0"/>
        <w:autoSpaceDN w:val="0"/>
        <w:adjustRightInd w:val="0"/>
        <w:spacing w:line="400" w:lineRule="exact"/>
        <w:rPr>
          <w:rFonts w:ascii="仿宋" w:hAnsi="仿宋" w:eastAsia="仿宋"/>
          <w:color w:val="auto"/>
          <w:kern w:val="1"/>
          <w:sz w:val="24"/>
          <w:highlight w:val="none"/>
        </w:rPr>
      </w:pPr>
    </w:p>
    <w:p w14:paraId="12AF7E1B">
      <w:pPr>
        <w:widowControl/>
        <w:autoSpaceDE w:val="0"/>
        <w:autoSpaceDN w:val="0"/>
        <w:adjustRightInd w:val="0"/>
        <w:spacing w:line="400" w:lineRule="exact"/>
        <w:rPr>
          <w:rFonts w:ascii="仿宋" w:hAnsi="仿宋" w:eastAsia="仿宋"/>
          <w:color w:val="auto"/>
          <w:kern w:val="1"/>
          <w:sz w:val="24"/>
          <w:highlight w:val="none"/>
        </w:rPr>
      </w:pPr>
    </w:p>
    <w:p w14:paraId="13C15137">
      <w:pPr>
        <w:widowControl/>
        <w:autoSpaceDE w:val="0"/>
        <w:autoSpaceDN w:val="0"/>
        <w:adjustRightInd w:val="0"/>
        <w:spacing w:line="400" w:lineRule="exact"/>
        <w:rPr>
          <w:rFonts w:ascii="仿宋" w:hAnsi="仿宋" w:eastAsia="仿宋"/>
          <w:color w:val="auto"/>
          <w:kern w:val="1"/>
          <w:sz w:val="24"/>
          <w:highlight w:val="none"/>
        </w:rPr>
      </w:pPr>
    </w:p>
    <w:p w14:paraId="5473E69B">
      <w:pPr>
        <w:widowControl/>
        <w:autoSpaceDE w:val="0"/>
        <w:autoSpaceDN w:val="0"/>
        <w:adjustRightInd w:val="0"/>
        <w:spacing w:line="400" w:lineRule="exact"/>
        <w:rPr>
          <w:rFonts w:ascii="仿宋" w:hAnsi="仿宋" w:eastAsia="仿宋"/>
          <w:color w:val="auto"/>
          <w:kern w:val="1"/>
          <w:sz w:val="24"/>
          <w:highlight w:val="none"/>
        </w:rPr>
      </w:pPr>
    </w:p>
    <w:p w14:paraId="0B6122A7">
      <w:pPr>
        <w:widowControl/>
        <w:autoSpaceDE w:val="0"/>
        <w:autoSpaceDN w:val="0"/>
        <w:adjustRightInd w:val="0"/>
        <w:spacing w:line="400" w:lineRule="exact"/>
        <w:rPr>
          <w:rFonts w:ascii="仿宋" w:hAnsi="仿宋" w:eastAsia="仿宋"/>
          <w:color w:val="auto"/>
          <w:kern w:val="1"/>
          <w:sz w:val="24"/>
          <w:highlight w:val="none"/>
        </w:rPr>
      </w:pPr>
    </w:p>
    <w:p w14:paraId="220AB692">
      <w:pPr>
        <w:widowControl/>
        <w:autoSpaceDE w:val="0"/>
        <w:autoSpaceDN w:val="0"/>
        <w:adjustRightInd w:val="0"/>
        <w:spacing w:line="400" w:lineRule="exact"/>
        <w:rPr>
          <w:rFonts w:ascii="仿宋" w:hAnsi="仿宋" w:eastAsia="仿宋"/>
          <w:color w:val="auto"/>
          <w:kern w:val="1"/>
          <w:sz w:val="24"/>
          <w:highlight w:val="none"/>
        </w:rPr>
      </w:pPr>
    </w:p>
    <w:p w14:paraId="1B84377B">
      <w:pPr>
        <w:widowControl/>
        <w:autoSpaceDE w:val="0"/>
        <w:autoSpaceDN w:val="0"/>
        <w:adjustRightInd w:val="0"/>
        <w:spacing w:line="400" w:lineRule="exact"/>
        <w:rPr>
          <w:rFonts w:ascii="仿宋" w:hAnsi="仿宋" w:eastAsia="仿宋"/>
          <w:color w:val="auto"/>
          <w:kern w:val="1"/>
          <w:sz w:val="24"/>
          <w:highlight w:val="none"/>
        </w:rPr>
      </w:pPr>
    </w:p>
    <w:p w14:paraId="540E1F80">
      <w:pPr>
        <w:widowControl/>
        <w:autoSpaceDE w:val="0"/>
        <w:autoSpaceDN w:val="0"/>
        <w:adjustRightInd w:val="0"/>
        <w:spacing w:line="400" w:lineRule="exact"/>
        <w:rPr>
          <w:rFonts w:ascii="仿宋" w:hAnsi="仿宋" w:eastAsia="仿宋"/>
          <w:color w:val="auto"/>
          <w:kern w:val="1"/>
          <w:sz w:val="24"/>
          <w:highlight w:val="none"/>
        </w:rPr>
      </w:pPr>
    </w:p>
    <w:p w14:paraId="23FBB281">
      <w:pPr>
        <w:widowControl/>
        <w:autoSpaceDE w:val="0"/>
        <w:autoSpaceDN w:val="0"/>
        <w:adjustRightInd w:val="0"/>
        <w:spacing w:line="400" w:lineRule="exact"/>
        <w:rPr>
          <w:rFonts w:ascii="仿宋" w:hAnsi="仿宋" w:eastAsia="仿宋"/>
          <w:color w:val="auto"/>
          <w:kern w:val="1"/>
          <w:sz w:val="24"/>
          <w:highlight w:val="none"/>
        </w:rPr>
      </w:pPr>
    </w:p>
    <w:p w14:paraId="63B7DE42">
      <w:pPr>
        <w:spacing w:line="4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法定代表人身份证明</w:t>
      </w:r>
    </w:p>
    <w:p w14:paraId="6531F2AE">
      <w:pPr>
        <w:spacing w:line="400" w:lineRule="exact"/>
        <w:rPr>
          <w:rFonts w:hint="eastAsia" w:ascii="仿宋" w:hAnsi="仿宋" w:eastAsia="仿宋" w:cs="仿宋"/>
          <w:color w:val="auto"/>
          <w:sz w:val="20"/>
          <w:highlight w:val="none"/>
        </w:rPr>
      </w:pPr>
    </w:p>
    <w:p w14:paraId="024A61AE">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14:paraId="66EFA7DE">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单位性质：</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14:paraId="3DA346A1">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r>
        <w:rPr>
          <w:rFonts w:hint="eastAsia" w:ascii="仿宋_GB2312" w:hAnsi="仿宋_GB2312" w:eastAsia="仿宋_GB2312" w:cs="仿宋_GB2312"/>
          <w:sz w:val="28"/>
          <w:szCs w:val="28"/>
          <w:highlight w:val="none"/>
          <w:u w:val="single"/>
        </w:rPr>
        <w:t xml:space="preserve">              </w:t>
      </w:r>
    </w:p>
    <w:p w14:paraId="59F25FEE">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成立时间：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1E1BC7FB">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经营期限：</w:t>
      </w:r>
      <w:r>
        <w:rPr>
          <w:rFonts w:hint="eastAsia" w:ascii="仿宋_GB2312" w:hAnsi="仿宋_GB2312" w:eastAsia="仿宋_GB2312" w:cs="仿宋_GB2312"/>
          <w:sz w:val="28"/>
          <w:szCs w:val="28"/>
          <w:highlight w:val="none"/>
          <w:u w:val="single"/>
        </w:rPr>
        <w:t xml:space="preserve">            </w:t>
      </w:r>
    </w:p>
    <w:p w14:paraId="2C113888">
      <w:pPr>
        <w:spacing w:line="360" w:lineRule="auto"/>
        <w:rPr>
          <w:rFonts w:ascii="仿宋_GB2312" w:hAnsi="仿宋_GB2312" w:eastAsia="仿宋_GB2312" w:cs="仿宋_GB2312"/>
          <w:sz w:val="28"/>
          <w:szCs w:val="28"/>
          <w:highlight w:val="none"/>
        </w:rPr>
      </w:pPr>
    </w:p>
    <w:p w14:paraId="25C4FB9D">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年龄：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职务：</w:t>
      </w:r>
      <w:r>
        <w:rPr>
          <w:rFonts w:hint="eastAsia" w:ascii="仿宋_GB2312" w:hAnsi="仿宋_GB2312" w:eastAsia="仿宋_GB2312" w:cs="仿宋_GB2312"/>
          <w:sz w:val="28"/>
          <w:szCs w:val="28"/>
          <w:highlight w:val="none"/>
          <w:u w:val="single"/>
        </w:rPr>
        <w:t xml:space="preserve">     </w:t>
      </w:r>
    </w:p>
    <w:p w14:paraId="7E2E3F37">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（投标人名称）的法定代表人。</w:t>
      </w:r>
    </w:p>
    <w:p w14:paraId="1AE6284F">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特此证明。</w:t>
      </w:r>
    </w:p>
    <w:p w14:paraId="34968C7A">
      <w:pPr>
        <w:spacing w:line="360" w:lineRule="auto"/>
        <w:rPr>
          <w:rFonts w:ascii="仿宋_GB2312" w:hAnsi="仿宋_GB2312" w:eastAsia="仿宋_GB2312" w:cs="仿宋_GB2312"/>
          <w:sz w:val="28"/>
          <w:szCs w:val="28"/>
          <w:highlight w:val="none"/>
        </w:rPr>
      </w:pPr>
    </w:p>
    <w:p w14:paraId="06C0A081">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附：法定代表人身份证复印件。</w:t>
      </w:r>
    </w:p>
    <w:p w14:paraId="0BC24D6E">
      <w:pPr>
        <w:spacing w:line="360" w:lineRule="auto"/>
        <w:rPr>
          <w:rFonts w:ascii="仿宋_GB2312" w:hAnsi="仿宋_GB2312" w:eastAsia="仿宋_GB2312" w:cs="仿宋_GB2312"/>
          <w:sz w:val="28"/>
          <w:szCs w:val="28"/>
          <w:highlight w:val="none"/>
        </w:rPr>
      </w:pPr>
    </w:p>
    <w:p w14:paraId="24602B68">
      <w:pPr>
        <w:spacing w:line="360" w:lineRule="auto"/>
        <w:rPr>
          <w:rFonts w:ascii="仿宋_GB2312" w:hAnsi="仿宋_GB2312" w:eastAsia="仿宋_GB2312" w:cs="仿宋_GB2312"/>
          <w:sz w:val="28"/>
          <w:szCs w:val="28"/>
          <w:highlight w:val="none"/>
        </w:rPr>
      </w:pPr>
    </w:p>
    <w:p w14:paraId="390C60D8">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（公章）</w:t>
      </w:r>
    </w:p>
    <w:p w14:paraId="24C49A29">
      <w:pPr>
        <w:spacing w:line="360" w:lineRule="auto"/>
        <w:rPr>
          <w:rFonts w:ascii="仿宋_GB2312" w:hAnsi="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日           </w:t>
      </w:r>
    </w:p>
    <w:p w14:paraId="5E1F425B">
      <w:pPr>
        <w:widowControl/>
        <w:jc w:val="left"/>
        <w:rPr>
          <w:rFonts w:ascii="仿宋_GB2312" w:eastAsia="仿宋_GB2312"/>
          <w:sz w:val="28"/>
          <w:szCs w:val="28"/>
          <w:highlight w:val="none"/>
        </w:rPr>
        <w:sectPr>
          <w:footerReference r:id="rId4" w:type="default"/>
          <w:pgSz w:w="11906" w:h="16838"/>
          <w:pgMar w:top="2098" w:right="1474" w:bottom="1984" w:left="1587" w:header="851" w:footer="992" w:gutter="0"/>
          <w:pgNumType w:fmt="numberInDash"/>
          <w:cols w:space="425" w:num="1"/>
          <w:docGrid w:type="lines" w:linePitch="312" w:charSpace="0"/>
        </w:sectPr>
      </w:pPr>
    </w:p>
    <w:p w14:paraId="796B1622">
      <w:pPr>
        <w:widowControl/>
        <w:autoSpaceDE w:val="0"/>
        <w:autoSpaceDN w:val="0"/>
        <w:adjustRightInd w:val="0"/>
        <w:spacing w:line="440" w:lineRule="exact"/>
        <w:jc w:val="center"/>
        <w:rPr>
          <w:rFonts w:ascii="仿宋" w:hAnsi="仿宋" w:eastAsia="仿宋"/>
          <w:b/>
          <w:bCs/>
          <w:color w:val="auto"/>
          <w:kern w:val="1"/>
          <w:sz w:val="28"/>
          <w:szCs w:val="28"/>
          <w:highlight w:val="none"/>
        </w:rPr>
      </w:pPr>
      <w:r>
        <w:rPr>
          <w:rFonts w:hint="eastAsia" w:ascii="仿宋" w:hAnsi="仿宋" w:eastAsia="仿宋" w:cs="宋体"/>
          <w:b/>
          <w:bCs/>
          <w:color w:val="auto"/>
          <w:kern w:val="1"/>
          <w:sz w:val="28"/>
          <w:szCs w:val="28"/>
          <w:highlight w:val="none"/>
        </w:rPr>
        <w:t>法定代表人授权委托书</w:t>
      </w:r>
    </w:p>
    <w:p w14:paraId="55C4830B">
      <w:pPr>
        <w:jc w:val="center"/>
        <w:rPr>
          <w:rFonts w:ascii="仿宋" w:hAnsi="仿宋" w:eastAsia="仿宋" w:cs="仿宋"/>
          <w:sz w:val="44"/>
          <w:szCs w:val="44"/>
          <w:highlight w:val="none"/>
        </w:rPr>
      </w:pPr>
    </w:p>
    <w:p w14:paraId="6BD38FF3">
      <w:pPr>
        <w:adjustRightInd w:val="0"/>
        <w:snapToGrid w:val="0"/>
        <w:spacing w:line="360" w:lineRule="auto"/>
        <w:ind w:firstLine="560" w:firstLineChars="200"/>
        <w:jc w:val="left"/>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我</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系</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公司法定代表人，现授权委托我公司的</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为我公司本次的授权代表，代表我方办理本次项目等相关事宜，签署全部有关的文件、协议、合同并具有法律效力。</w:t>
      </w:r>
    </w:p>
    <w:p w14:paraId="704C2D39">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在我方未发出撤销授权委托书的书面通知之前，本授权委托书一直有效。被授权人签署的所有文件（在授权书有效期内签署的）不因授权撤销而失效。</w:t>
      </w:r>
    </w:p>
    <w:p w14:paraId="5B737F84">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被授权人无权转让委托权。特此授权。</w:t>
      </w:r>
    </w:p>
    <w:p w14:paraId="3AFC3E9F">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本授权委托书于</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color w:val="000000"/>
          <w:sz w:val="28"/>
          <w:szCs w:val="28"/>
          <w:highlight w:val="none"/>
        </w:rPr>
        <w:t>年</w:t>
      </w:r>
      <w:r>
        <w:rPr>
          <w:rFonts w:hint="eastAsia" w:ascii="仿宋_GB2312" w:hAnsi="仿宋" w:eastAsia="仿宋_GB2312" w:cs="仿宋"/>
          <w:color w:val="000000"/>
          <w:sz w:val="28"/>
          <w:szCs w:val="28"/>
          <w:highlight w:val="none"/>
          <w:u w:val="single"/>
        </w:rPr>
        <w:t xml:space="preserve">   </w:t>
      </w:r>
      <w:r>
        <w:rPr>
          <w:rFonts w:hint="eastAsia" w:ascii="仿宋_GB2312" w:hAnsi="仿宋" w:eastAsia="仿宋_GB2312" w:cs="仿宋"/>
          <w:color w:val="000000"/>
          <w:sz w:val="28"/>
          <w:szCs w:val="28"/>
          <w:highlight w:val="none"/>
        </w:rPr>
        <w:t>月</w:t>
      </w:r>
      <w:r>
        <w:rPr>
          <w:rFonts w:hint="eastAsia" w:ascii="仿宋_GB2312" w:hAnsi="仿宋" w:eastAsia="仿宋_GB2312" w:cs="仿宋"/>
          <w:color w:val="000000"/>
          <w:sz w:val="28"/>
          <w:szCs w:val="28"/>
          <w:highlight w:val="none"/>
          <w:u w:val="single"/>
        </w:rPr>
        <w:t xml:space="preserve">   </w:t>
      </w:r>
      <w:r>
        <w:rPr>
          <w:rFonts w:hint="eastAsia" w:ascii="仿宋_GB2312" w:hAnsi="仿宋" w:eastAsia="仿宋_GB2312" w:cs="仿宋"/>
          <w:color w:val="000000"/>
          <w:sz w:val="28"/>
          <w:szCs w:val="28"/>
          <w:highlight w:val="none"/>
        </w:rPr>
        <w:t>日起</w:t>
      </w:r>
      <w:r>
        <w:rPr>
          <w:rFonts w:hint="eastAsia" w:ascii="仿宋_GB2312" w:hAnsi="仿宋" w:eastAsia="仿宋_GB2312" w:cs="仿宋"/>
          <w:sz w:val="28"/>
          <w:szCs w:val="28"/>
          <w:highlight w:val="none"/>
        </w:rPr>
        <w:t>签字生效，特此声明。</w:t>
      </w:r>
    </w:p>
    <w:p w14:paraId="6A05991A">
      <w:pPr>
        <w:spacing w:line="360" w:lineRule="auto"/>
        <w:ind w:firstLine="560"/>
        <w:jc w:val="center"/>
        <w:rPr>
          <w:rFonts w:ascii="仿宋_GB2312" w:hAnsi="仿宋" w:eastAsia="仿宋_GB2312" w:cs="仿宋"/>
          <w:sz w:val="28"/>
          <w:szCs w:val="28"/>
          <w:highlight w:val="none"/>
        </w:rPr>
      </w:pPr>
    </w:p>
    <w:p w14:paraId="56853258">
      <w:pPr>
        <w:spacing w:line="360" w:lineRule="auto"/>
        <w:ind w:firstLine="560"/>
        <w:jc w:val="center"/>
        <w:rPr>
          <w:rFonts w:ascii="仿宋_GB2312" w:eastAsia="仿宋_GB2312"/>
          <w:sz w:val="28"/>
          <w:szCs w:val="28"/>
          <w:highlight w:val="none"/>
        </w:rPr>
      </w:pPr>
      <w:r>
        <w:rPr>
          <w:rFonts w:hint="eastAsia" w:ascii="仿宋_GB2312" w:hAnsi="仿宋" w:eastAsia="仿宋_GB2312" w:cs="仿宋"/>
          <w:sz w:val="28"/>
          <w:szCs w:val="28"/>
          <w:highlight w:val="none"/>
        </w:rPr>
        <w:t>（附法人代表身份证以及授权代表身份证复印件）</w:t>
      </w:r>
    </w:p>
    <w:p w14:paraId="4CD7135F">
      <w:pPr>
        <w:spacing w:line="360" w:lineRule="auto"/>
        <w:rPr>
          <w:rFonts w:ascii="仿宋_GB2312" w:eastAsia="仿宋_GB2312"/>
          <w:sz w:val="28"/>
          <w:szCs w:val="28"/>
          <w:highlight w:val="none"/>
        </w:rPr>
      </w:pPr>
      <w:r>
        <w:rPr>
          <w:rFonts w:hint="eastAsia" w:ascii="仿宋_GB2312" w:eastAsia="仿宋_GB2312"/>
          <w:sz w:val="28"/>
          <w:szCs w:val="28"/>
          <w:highlight w:val="none"/>
        </w:rPr>
        <w:t xml:space="preserve"> </w:t>
      </w:r>
    </w:p>
    <w:p w14:paraId="17784F95">
      <w:pPr>
        <w:spacing w:line="360" w:lineRule="auto"/>
        <w:rPr>
          <w:rFonts w:ascii="仿宋_GB2312" w:eastAsia="仿宋_GB2312"/>
          <w:sz w:val="28"/>
          <w:szCs w:val="28"/>
          <w:highlight w:val="none"/>
        </w:rPr>
      </w:pPr>
    </w:p>
    <w:p w14:paraId="420BB67B">
      <w:pPr>
        <w:spacing w:line="360" w:lineRule="auto"/>
        <w:rPr>
          <w:rFonts w:ascii="仿宋_GB2312" w:eastAsia="仿宋_GB2312"/>
          <w:sz w:val="28"/>
          <w:szCs w:val="28"/>
          <w:highlight w:val="none"/>
        </w:rPr>
      </w:pPr>
    </w:p>
    <w:p w14:paraId="70C5CDFA">
      <w:pPr>
        <w:spacing w:line="360" w:lineRule="auto"/>
        <w:rPr>
          <w:rFonts w:ascii="仿宋_GB2312" w:eastAsia="仿宋_GB2312"/>
          <w:sz w:val="28"/>
          <w:szCs w:val="28"/>
          <w:highlight w:val="none"/>
        </w:rPr>
      </w:pPr>
    </w:p>
    <w:p w14:paraId="1BB2D415">
      <w:pPr>
        <w:spacing w:line="360" w:lineRule="auto"/>
        <w:ind w:firstLine="3686"/>
        <w:jc w:val="left"/>
        <w:rPr>
          <w:rFonts w:ascii="仿宋_GB2312" w:hAnsi="仿宋" w:eastAsia="仿宋_GB2312" w:cs="仿宋"/>
          <w:sz w:val="28"/>
          <w:szCs w:val="28"/>
          <w:highlight w:val="none"/>
          <w:u w:val="single"/>
        </w:rPr>
      </w:pPr>
      <w:r>
        <w:rPr>
          <w:rFonts w:hint="eastAsia" w:ascii="仿宋_GB2312" w:hAnsi="仿宋" w:eastAsia="仿宋_GB2312" w:cs="仿宋"/>
          <w:sz w:val="28"/>
          <w:szCs w:val="28"/>
          <w:highlight w:val="none"/>
        </w:rPr>
        <w:t>供应商名称（公章）：</w:t>
      </w:r>
      <w:r>
        <w:rPr>
          <w:rFonts w:hint="eastAsia" w:ascii="仿宋_GB2312" w:hAnsi="仿宋" w:eastAsia="仿宋_GB2312" w:cs="仿宋"/>
          <w:sz w:val="28"/>
          <w:szCs w:val="28"/>
          <w:highlight w:val="none"/>
          <w:u w:val="single"/>
        </w:rPr>
        <w:t xml:space="preserve">             </w:t>
      </w:r>
    </w:p>
    <w:p w14:paraId="3D80A26D">
      <w:pPr>
        <w:spacing w:line="360" w:lineRule="auto"/>
        <w:ind w:firstLine="3686"/>
        <w:jc w:val="left"/>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法定代表人签字：</w:t>
      </w:r>
      <w:r>
        <w:rPr>
          <w:rFonts w:hint="eastAsia" w:ascii="仿宋_GB2312" w:hAnsi="仿宋" w:eastAsia="仿宋_GB2312" w:cs="仿宋"/>
          <w:sz w:val="28"/>
          <w:szCs w:val="28"/>
          <w:highlight w:val="none"/>
          <w:u w:val="single"/>
        </w:rPr>
        <w:t xml:space="preserve">                  </w:t>
      </w:r>
    </w:p>
    <w:p w14:paraId="2F1B0B03">
      <w:pPr>
        <w:widowControl/>
        <w:jc w:val="left"/>
        <w:rPr>
          <w:rFonts w:ascii="方正小标宋_GBK" w:hAnsi="Times New Roman" w:eastAsia="方正小标宋_GBK" w:cs="宋体"/>
          <w:sz w:val="32"/>
          <w:szCs w:val="36"/>
          <w:highlight w:val="none"/>
        </w:rPr>
      </w:pPr>
      <w:r>
        <w:rPr>
          <w:rFonts w:hint="eastAsia" w:ascii="仿宋_GB2312" w:hAnsi="仿宋" w:eastAsia="仿宋_GB2312" w:cs="仿宋"/>
          <w:sz w:val="28"/>
          <w:szCs w:val="28"/>
          <w:highlight w:val="none"/>
        </w:rPr>
        <w:t xml:space="preserve">                                          日期：  年  月  日</w:t>
      </w:r>
    </w:p>
    <w:p w14:paraId="246A3C83">
      <w:pPr>
        <w:pStyle w:val="5"/>
        <w:rPr>
          <w:rFonts w:hint="eastAsia"/>
          <w:color w:val="auto"/>
        </w:rPr>
        <w:sectPr>
          <w:pgSz w:w="11906" w:h="16838"/>
          <w:pgMar w:top="1440" w:right="1474" w:bottom="1440" w:left="1474" w:header="851" w:footer="992" w:gutter="0"/>
          <w:pgNumType w:fmt="decimal"/>
          <w:cols w:space="425" w:num="1"/>
          <w:docGrid w:type="lines" w:linePitch="312" w:charSpace="0"/>
        </w:sectPr>
      </w:pPr>
    </w:p>
    <w:p w14:paraId="098E45AF">
      <w:pPr>
        <w:rPr>
          <w:rFonts w:hint="eastAsia" w:ascii="仿宋" w:hAnsi="仿宋" w:eastAsia="仿宋" w:cs="仿宋"/>
          <w:color w:val="auto"/>
          <w:sz w:val="24"/>
          <w:szCs w:val="24"/>
          <w:highlight w:val="none"/>
          <w:lang w:val="en-US" w:eastAsia="zh-CN"/>
        </w:rPr>
      </w:pPr>
    </w:p>
    <w:sectPr>
      <w:pgSz w:w="11906" w:h="16838"/>
      <w:pgMar w:top="1440" w:right="1474"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C1F81">
    <w:pPr>
      <w:pStyle w:val="5"/>
      <w:tabs>
        <w:tab w:val="left" w:pos="3678"/>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15BF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915BF2">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1BC7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1635" cy="197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1635" cy="197485"/>
                      </a:xfrm>
                      <a:prstGeom prst="rect">
                        <a:avLst/>
                      </a:prstGeom>
                      <a:noFill/>
                      <a:ln w="6350">
                        <a:noFill/>
                      </a:ln>
                      <a:effectLst/>
                    </wps:spPr>
                    <wps:txbx>
                      <w:txbxContent>
                        <w:p w14:paraId="50F8F365">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- 5 -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5.55pt;width:30.05pt;mso-position-horizontal:center;mso-position-horizontal-relative:margin;mso-wrap-style:none;z-index:251659264;mso-width-relative:page;mso-height-relative:page;" filled="f" stroked="f" coordsize="21600,21600" o:gfxdata="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7jsnt0gAAAAMBAAAPAAAAAAAAAAEAIAAAACIAAABkcnMvZG93bnJldi54bWxQ&#10;SwECFAAUAAAACACHTuJAe1DN3jYCAABhBAAADgAAAAAAAAABACAAAAAhAQAAZHJzL2Uyb0RvYy54&#10;bWxQSwUGAAAAAAYABgBZAQAAyQUAAAAA&#10;">
              <v:fill on="f" focussize="0,0"/>
              <v:stroke on="f" weight="0.5pt"/>
              <v:imagedata o:title=""/>
              <o:lock v:ext="edit" aspectratio="f"/>
              <v:textbox inset="0mm,0mm,0mm,0mm" style="mso-fit-shape-to-text:t;">
                <w:txbxContent>
                  <w:p w14:paraId="50F8F365">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- 5 -</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4A58046E"/>
    <w:rsid w:val="02CB2A33"/>
    <w:rsid w:val="02D14E84"/>
    <w:rsid w:val="057C19CF"/>
    <w:rsid w:val="0C1F08F2"/>
    <w:rsid w:val="131A37A4"/>
    <w:rsid w:val="15B46D5C"/>
    <w:rsid w:val="15BF1628"/>
    <w:rsid w:val="16492F37"/>
    <w:rsid w:val="16B411E1"/>
    <w:rsid w:val="1B2B50D1"/>
    <w:rsid w:val="1BDC68CC"/>
    <w:rsid w:val="1DD957B9"/>
    <w:rsid w:val="27A744A5"/>
    <w:rsid w:val="290D24FE"/>
    <w:rsid w:val="30B73737"/>
    <w:rsid w:val="351B2DFC"/>
    <w:rsid w:val="396226AE"/>
    <w:rsid w:val="444838A6"/>
    <w:rsid w:val="45742769"/>
    <w:rsid w:val="488241D3"/>
    <w:rsid w:val="48E55212"/>
    <w:rsid w:val="48F84495"/>
    <w:rsid w:val="4A58046E"/>
    <w:rsid w:val="4BE13907"/>
    <w:rsid w:val="4C5C5856"/>
    <w:rsid w:val="4F5C39D0"/>
    <w:rsid w:val="55717AA9"/>
    <w:rsid w:val="570861C6"/>
    <w:rsid w:val="59E64014"/>
    <w:rsid w:val="5ADF3707"/>
    <w:rsid w:val="5B78731C"/>
    <w:rsid w:val="5BA26C0E"/>
    <w:rsid w:val="5CA92C4B"/>
    <w:rsid w:val="61FA1D23"/>
    <w:rsid w:val="669C425A"/>
    <w:rsid w:val="68C77CB4"/>
    <w:rsid w:val="6A470E93"/>
    <w:rsid w:val="6B7E4876"/>
    <w:rsid w:val="6C4038DA"/>
    <w:rsid w:val="6D4C4C2C"/>
    <w:rsid w:val="6DD06B6B"/>
    <w:rsid w:val="6E8A1E6D"/>
    <w:rsid w:val="712447AC"/>
    <w:rsid w:val="726447C6"/>
    <w:rsid w:val="7364746D"/>
    <w:rsid w:val="749E13E2"/>
    <w:rsid w:val="7D3C6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rPr>
      <w:kern w:val="0"/>
    </w:rPr>
  </w:style>
  <w:style w:type="paragraph" w:styleId="4">
    <w:name w:val="Body Text"/>
    <w:basedOn w:val="1"/>
    <w:next w:val="3"/>
    <w:unhideWhenUsed/>
    <w:qFormat/>
    <w:uiPriority w:val="99"/>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380" w:lineRule="exact"/>
      <w:jc w:val="distribute"/>
    </w:pPr>
    <w:rPr>
      <w:rFonts w:eastAsia="黑体"/>
    </w:rPr>
  </w:style>
  <w:style w:type="paragraph" w:styleId="8">
    <w:name w:val="toc 2"/>
    <w:basedOn w:val="1"/>
    <w:next w:val="1"/>
    <w:unhideWhenUsed/>
    <w:qFormat/>
    <w:uiPriority w:val="39"/>
    <w:pPr>
      <w:spacing w:line="380" w:lineRule="exact"/>
      <w:ind w:left="200" w:leftChars="200"/>
      <w:jc w:val="distribute"/>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qFormat/>
    <w:uiPriority w:val="99"/>
    <w:rPr>
      <w:color w:val="0563C1"/>
      <w:u w:val="single"/>
    </w:rPr>
  </w:style>
  <w:style w:type="paragraph" w:customStyle="1" w:styleId="13">
    <w:name w:val="正文格式"/>
    <w:basedOn w:val="4"/>
    <w:next w:val="1"/>
    <w:qFormat/>
    <w:uiPriority w:val="0"/>
    <w:pPr>
      <w:spacing w:line="360" w:lineRule="auto"/>
      <w:ind w:firstLine="200" w:firstLineChars="200"/>
    </w:pPr>
    <w:rPr>
      <w:rFonts w:ascii="宋体"/>
      <w:kern w:val="2"/>
      <w:sz w:val="28"/>
      <w:szCs w:val="22"/>
      <w:lang w:val="en-US" w:eastAsia="zh-CN" w:bidi="ar-SA"/>
    </w:rPr>
  </w:style>
  <w:style w:type="character" w:customStyle="1" w:styleId="14">
    <w:name w:val="楷体 (中文) 楷体"/>
    <w:qFormat/>
    <w:uiPriority w:val="0"/>
    <w:rPr>
      <w:rFonts w:ascii="楷体" w:hAnsi="楷体" w:eastAsia="楷体"/>
      <w:kern w:val="1"/>
      <w:sz w:val="28"/>
    </w:rPr>
  </w:style>
  <w:style w:type="character" w:customStyle="1" w:styleId="15">
    <w:name w:val="样式 仿宋"/>
    <w:qFormat/>
    <w:uiPriority w:val="99"/>
    <w:rPr>
      <w:rFonts w:ascii="仿宋" w:hAnsi="仿宋" w:eastAsia="仿宋"/>
      <w:kern w:val="1"/>
    </w:rPr>
  </w:style>
  <w:style w:type="paragraph" w:customStyle="1" w:styleId="16">
    <w:name w:val="样式 仿宋 行距: 1.5 倍行距"/>
    <w:basedOn w:val="1"/>
    <w:qFormat/>
    <w:uiPriority w:val="0"/>
    <w:pPr>
      <w:spacing w:line="360" w:lineRule="auto"/>
    </w:pPr>
    <w:rPr>
      <w:rFonts w:ascii="仿宋" w:hAnsi="仿宋" w:eastAsia="仿宋"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16947</Words>
  <Characters>18238</Characters>
  <Lines>0</Lines>
  <Paragraphs>0</Paragraphs>
  <TotalTime>0</TotalTime>
  <ScaleCrop>false</ScaleCrop>
  <LinksUpToDate>false</LinksUpToDate>
  <CharactersWithSpaces>18896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2024-09-06T06:33:00Z</dcterms:created>
  <dc:creator>小珍珍</dc:creator>
  <cp:lastModifiedBy>Administrator</cp:lastModifiedBy>
  <dcterms:modified xsi:type="dcterms:W3CDTF">2024-09-18T03:10:05Z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F0F2212546A842C9941D0F549FD1A453_13</vt:lpwstr>
  </property>
</Properties>
</file>