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EF11B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55942891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440093E2">
      <w:pPr>
        <w:widowControl/>
        <w:spacing w:line="500" w:lineRule="exact"/>
        <w:ind w:firstLine="140" w:firstLineChars="5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我公司现阿斯利康、足篮球学院等工程所需的35kV环网柜、35kV电缆、10kV电缆等设备材料进行采购，欢迎符合条件的供应商参加，具体要求如下：</w:t>
      </w:r>
    </w:p>
    <w:p w14:paraId="76D7E6AF">
      <w:pPr>
        <w:widowControl/>
        <w:spacing w:line="500" w:lineRule="exact"/>
        <w:ind w:firstLine="140" w:firstLineChars="50"/>
        <w:jc w:val="left"/>
        <w:rPr>
          <w:rFonts w:cs="Arial" w:asciiTheme="minorEastAsia" w:hAnsiTheme="minorEastAsia" w:eastAsiaTheme="minorEastAsia"/>
          <w:bCs/>
          <w:sz w:val="36"/>
          <w:szCs w:val="36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1.项目名称：阿斯利康、足篮球学院等工程35kV环网柜、35kV电缆、10kV电缆等设备材料采购。</w:t>
      </w:r>
    </w:p>
    <w:p w14:paraId="34F45215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2.项目地点：需方指定地点。</w:t>
      </w:r>
    </w:p>
    <w:p w14:paraId="3C68680F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3.采购内容：详见第三章 采购需求。</w:t>
      </w:r>
    </w:p>
    <w:p w14:paraId="7010387C"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4.采购控制价（含税价，增值税税率为13%）：</w:t>
      </w:r>
    </w:p>
    <w:p w14:paraId="604F3110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第一包：环网柜设备4台，型号分别为1250A 国网标准化6G 一二次融合（含光纤设备）、630A 国网标准化6G 一二次融合（含光纤设备），采购控制总价为</w:t>
      </w:r>
      <w:r>
        <w:rPr>
          <w:rFonts w:ascii="仿宋" w:hAnsi="仿宋" w:eastAsia="仿宋"/>
          <w:sz w:val="28"/>
          <w:szCs w:val="28"/>
          <w:highlight w:val="none"/>
        </w:rPr>
        <w:t>2920336.68元</w:t>
      </w:r>
      <w:r>
        <w:rPr>
          <w:rFonts w:hint="eastAsia" w:ascii="仿宋" w:hAnsi="仿宋" w:eastAsia="仿宋"/>
          <w:sz w:val="28"/>
          <w:szCs w:val="28"/>
          <w:highlight w:val="none"/>
        </w:rPr>
        <w:t>;</w:t>
      </w:r>
    </w:p>
    <w:p w14:paraId="174FB2D7">
      <w:pPr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第二包：10kV电力电缆材料，采购控制总价为</w:t>
      </w:r>
      <w:r>
        <w:rPr>
          <w:rFonts w:ascii="仿宋" w:hAnsi="仿宋" w:eastAsia="仿宋"/>
          <w:sz w:val="28"/>
          <w:szCs w:val="28"/>
          <w:highlight w:val="none"/>
        </w:rPr>
        <w:t>2514230.41</w:t>
      </w:r>
      <w:r>
        <w:rPr>
          <w:rFonts w:hint="eastAsia" w:ascii="仿宋" w:hAnsi="仿宋" w:eastAsia="仿宋"/>
          <w:sz w:val="28"/>
          <w:szCs w:val="28"/>
          <w:highlight w:val="none"/>
        </w:rPr>
        <w:t>元；</w:t>
      </w:r>
    </w:p>
    <w:p w14:paraId="61C44A29">
      <w:pPr>
        <w:pStyle w:val="16"/>
        <w:spacing w:line="500" w:lineRule="exact"/>
        <w:ind w:firstLine="552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第三包：35kV电力电缆材料</w:t>
      </w:r>
      <w:r>
        <w:rPr>
          <w:rFonts w:ascii="仿宋" w:hAnsi="仿宋" w:eastAsia="仿宋"/>
          <w:sz w:val="28"/>
          <w:szCs w:val="28"/>
          <w:highlight w:val="none"/>
        </w:rPr>
        <w:t>ZC-YJV22-26/35-3*400电缆</w:t>
      </w:r>
      <w:r>
        <w:rPr>
          <w:rFonts w:hint="eastAsia" w:ascii="仿宋" w:hAnsi="仿宋" w:eastAsia="仿宋"/>
          <w:sz w:val="28"/>
          <w:szCs w:val="28"/>
          <w:highlight w:val="none"/>
        </w:rPr>
        <w:t>13313米，采购控制总价为</w:t>
      </w:r>
      <w:r>
        <w:rPr>
          <w:rFonts w:ascii="仿宋" w:hAnsi="仿宋" w:eastAsia="仿宋"/>
          <w:sz w:val="28"/>
          <w:szCs w:val="28"/>
          <w:highlight w:val="none"/>
        </w:rPr>
        <w:t>13180935.04元。</w:t>
      </w:r>
    </w:p>
    <w:p w14:paraId="6017D9C4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bookmarkStart w:id="2" w:name="_Toc134452748"/>
      <w:r>
        <w:rPr>
          <w:rFonts w:hint="eastAsia" w:ascii="仿宋" w:hAnsi="仿宋" w:eastAsia="仿宋"/>
          <w:sz w:val="28"/>
          <w:szCs w:val="28"/>
          <w:highlight w:val="none"/>
        </w:rPr>
        <w:t xml:space="preserve">    5.供应商资格要求</w:t>
      </w:r>
    </w:p>
    <w:p w14:paraId="704B5104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2414BA6F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5.2供应商必须具备相关营业资格,所生产的产品必须符合国家、行业标准相关要求，相关主材、设备必须具备国家认可的型式试验报告，并在人员、设备、技术、资金等方面具备相应的能力。</w:t>
      </w:r>
    </w:p>
    <w:p w14:paraId="78C7A7EC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7563C125">
      <w:pPr>
        <w:pStyle w:val="16"/>
        <w:spacing w:line="50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3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14:paraId="44E3C709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42826C20">
      <w:pPr>
        <w:pStyle w:val="16"/>
        <w:spacing w:line="500" w:lineRule="exact"/>
        <w:rPr>
          <w:rFonts w:ascii="仿宋" w:hAnsi="仿宋" w:eastAsia="仿宋"/>
          <w:color w:val="0000FF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6.1截止时间：2024年9月24日12时00分。</w:t>
      </w:r>
    </w:p>
    <w:p w14:paraId="68B2C4C7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6.2预审方式：供应商将资格审查所需材料附在一个文档里，在截止时间前发送至邮箱：gaoxinshuidian@163.com。邮件标题为供应商名称+项目名称（第 包），正文备注联系人、联系方式、采购文件接收邮箱地址。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7D6442F2">
      <w:pPr>
        <w:pStyle w:val="16"/>
        <w:spacing w:line="500" w:lineRule="exac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         </w:t>
      </w:r>
    </w:p>
    <w:p w14:paraId="05ED69F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7.1时间：2024年9 月29日8时30分至9时00 分。</w:t>
      </w:r>
    </w:p>
    <w:p w14:paraId="637E0A2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楼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803</w:t>
      </w:r>
      <w:r>
        <w:rPr>
          <w:rFonts w:hint="eastAsia" w:ascii="仿宋" w:hAnsi="仿宋" w:eastAsia="仿宋"/>
          <w:sz w:val="28"/>
          <w:szCs w:val="28"/>
          <w:highlight w:val="none"/>
        </w:rPr>
        <w:t>会议室。</w:t>
      </w:r>
    </w:p>
    <w:p w14:paraId="0B592EF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096DB34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8.1时间：2024年9月29日9时00分。</w:t>
      </w:r>
    </w:p>
    <w:p w14:paraId="6638ACA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楼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803</w:t>
      </w:r>
      <w:r>
        <w:rPr>
          <w:rFonts w:hint="eastAsia" w:ascii="仿宋" w:hAnsi="仿宋" w:eastAsia="仿宋"/>
          <w:sz w:val="28"/>
          <w:szCs w:val="28"/>
          <w:highlight w:val="none"/>
        </w:rPr>
        <w:t>会议室。</w:t>
      </w:r>
    </w:p>
    <w:p w14:paraId="798D7AC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1DE691D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4017A8C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50F2C10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3720D23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</w:t>
      </w:r>
    </w:p>
    <w:p w14:paraId="7B775B33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</w:p>
    <w:p w14:paraId="3B7FA202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</w:p>
    <w:p w14:paraId="3A53CC3F">
      <w:pPr>
        <w:pStyle w:val="16"/>
        <w:spacing w:line="50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2024年9 月23日</w:t>
      </w:r>
    </w:p>
    <w:bookmarkEnd w:id="2"/>
    <w:p w14:paraId="5D96AE3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bookmarkStart w:id="4" w:name="_Toc134452749"/>
      <w:bookmarkStart w:id="5" w:name="_Toc155942893"/>
    </w:p>
    <w:p w14:paraId="3387E5C2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AB3808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7EE67C5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1173A64C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7D4ABEEA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4FDE77DB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采购需求</w:t>
      </w:r>
      <w:bookmarkEnd w:id="4"/>
      <w:bookmarkEnd w:id="5"/>
      <w:bookmarkStart w:id="6" w:name="_Toc134452750"/>
    </w:p>
    <w:p w14:paraId="7630E09E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7" w:name="_Toc155942894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第一包：</w:t>
      </w:r>
      <w:bookmarkEnd w:id="7"/>
    </w:p>
    <w:p w14:paraId="32FE104B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6"/>
    <w:p w14:paraId="01363D0A">
      <w:pPr>
        <w:pStyle w:val="4"/>
        <w:jc w:val="left"/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</w:pPr>
      <w:bookmarkStart w:id="8" w:name="_Toc15594289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8"/>
      <w:bookmarkStart w:id="9" w:name="_Toc155942897"/>
      <w:bookmarkStart w:id="10" w:name="_Toc134452751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环网柜设备4台，型号分别为1250A 国网标准化6G 一二次融合（含光纤设备）、630A 国网标准化6G 一二次融合（含光纤设备）</w:t>
      </w:r>
    </w:p>
    <w:p w14:paraId="60465814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9"/>
      <w:bookmarkEnd w:id="10"/>
    </w:p>
    <w:p w14:paraId="4CADE01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1" w:name="_Toc138080267"/>
      <w:bookmarkStart w:id="12" w:name="_Toc155942898"/>
      <w:bookmarkStart w:id="13" w:name="_Toc134452755"/>
      <w:bookmarkStart w:id="14" w:name="_Toc13445275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 w14:paraId="70496A5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，由供方负责环网柜设备的国网进站手续、协调、光纤设备的安装、光缆材料敷设、设备联调送电等工作。</w:t>
      </w:r>
    </w:p>
    <w:p w14:paraId="742D7D3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6E6B1EC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106BE379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2.5.服务地点：采购人指定地点。</w:t>
      </w:r>
    </w:p>
    <w:p w14:paraId="418D0F9E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1"/>
      <w:bookmarkEnd w:id="12"/>
    </w:p>
    <w:bookmarkEnd w:id="13"/>
    <w:p w14:paraId="742C921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5" w:name="_Toc155942899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电缆材料生产，产品到货验收合格后三个月后付至总货款的95％，供方需一次性开具全额增值税专用发票，13%税率，如遇税率调整，按照最新税率政策执行，剩余5％质保期满后一次性付清。</w:t>
      </w:r>
    </w:p>
    <w:p w14:paraId="388B030C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15"/>
    </w:p>
    <w:p w14:paraId="1E62B0F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55942900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2E1811F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产品到货后由采购人对货物进行详细而全面的检验，并出具产品验收报告，证明货物质量无任何问题，作为付款凭据之一。</w:t>
      </w:r>
    </w:p>
    <w:p w14:paraId="46CD44E7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1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16"/>
    </w:p>
    <w:p w14:paraId="6F387C5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7" w:name="_Toc155942901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0063EA34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17"/>
    </w:p>
    <w:p w14:paraId="65D6918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462C588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03C7BB5A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054FACA1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0D2D8773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06CDF844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59C3B54C"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附录：阿斯利康、足篮球学院等工程35kV环网柜、35kV电缆、10kV电缆等设备材料采购第一包环网柜清单控制价（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296"/>
        <w:gridCol w:w="1555"/>
      </w:tblGrid>
      <w:tr w14:paraId="6EB5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AE0F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F9C7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7C7D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E8FF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5801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426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3C27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930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环网柜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B44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1250A 国网标准化6G 一二次融合（含光纤设备）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700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A90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296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788066.67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756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2364200.01</w:t>
            </w:r>
          </w:p>
        </w:tc>
      </w:tr>
      <w:tr w14:paraId="4BC9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B784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环网柜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F4FE">
            <w:pPr>
              <w:pStyle w:val="4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  <w:t>630A 国网标准化6G 一二次融合（含光纤设备）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317D1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7120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F16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556166.67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A74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556166.67</w:t>
            </w:r>
          </w:p>
        </w:tc>
      </w:tr>
      <w:tr w14:paraId="19C3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1C21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0DB0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2920366.68</w:t>
            </w:r>
          </w:p>
        </w:tc>
      </w:tr>
    </w:tbl>
    <w:p w14:paraId="5C460E2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 w14:paraId="09384DCD"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</w:pPr>
      <w:bookmarkStart w:id="18" w:name="_Toc134452757"/>
      <w:r>
        <w:rPr>
          <w:rFonts w:ascii="仿宋" w:hAnsi="仿宋" w:eastAsia="仿宋"/>
          <w:sz w:val="28"/>
          <w:szCs w:val="28"/>
          <w:highlight w:val="none"/>
        </w:rPr>
        <w:br w:type="page"/>
      </w:r>
    </w:p>
    <w:p w14:paraId="1114CBAB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19" w:name="_Toc155942902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第二包：</w:t>
      </w:r>
      <w:bookmarkEnd w:id="19"/>
    </w:p>
    <w:p w14:paraId="57A7033E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p w14:paraId="170B00D7">
      <w:pPr>
        <w:pStyle w:val="4"/>
        <w:spacing w:line="560" w:lineRule="exact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</w:pPr>
      <w:bookmarkStart w:id="20" w:name="_Toc155942904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 xml:space="preserve"> </w:t>
      </w:r>
      <w:bookmarkEnd w:id="20"/>
      <w:bookmarkStart w:id="21" w:name="_Toc155942905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10kV电力电缆材料，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ZR-YJV22-8.7/15KY-3*400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，2766米；ZR-YJV22-8.7/15KV-3*185，127米。</w:t>
      </w:r>
    </w:p>
    <w:p w14:paraId="41E712C5">
      <w:pPr>
        <w:pStyle w:val="4"/>
        <w:spacing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21"/>
    </w:p>
    <w:p w14:paraId="7E33221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2" w:name="_Toc155942906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 w14:paraId="7CDEA620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617FC78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663714C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359E3E1D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2.5.固定单价招标，供货量以供方实际订单为准，按实结算。</w:t>
      </w:r>
    </w:p>
    <w:p w14:paraId="1DAD154A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432CBA59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22"/>
    </w:p>
    <w:p w14:paraId="1B79065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3" w:name="_Toc155942907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电缆材料生产，产品到货验收合格后三个月后付至总货款的95％，供方需一次性开具全额增值税专用发票，13%税率，如遇税率调整，按照最新税率政策执行，剩余5％质保期满后一次性付清。</w:t>
      </w:r>
    </w:p>
    <w:p w14:paraId="65D34942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3"/>
    </w:p>
    <w:p w14:paraId="04F8101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4" w:name="_Toc155942908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7B73B6E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产品到货后由采购人对货物进行详细而全面的检验，并出具产品验收报告，证明货物质量无任何问题，作为付款凭据之一。</w:t>
      </w:r>
    </w:p>
    <w:p w14:paraId="0D1A0783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24"/>
    </w:p>
    <w:p w14:paraId="70C4BB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5" w:name="_Toc155942909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1B2D3F9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5"/>
    </w:p>
    <w:p w14:paraId="60DB1E6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45D7908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5033E677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0B29FE12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0D18F8AD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6C01B818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3A54B9A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200BBEED"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</w:p>
    <w:p w14:paraId="6CA79BBE"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附录：阿斯利康、足篮球学院等工程35kV环网柜、35kV电缆、10kV电缆等设备材料采购第二包10KV电力电缆清单控制价（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296"/>
        <w:gridCol w:w="1555"/>
      </w:tblGrid>
      <w:tr w14:paraId="4B4D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F83D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7DA4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B34E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6347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FD703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629A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21153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22A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10kV电力电缆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AA2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ZR-YJV22-8.7/15KY-3*400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5B810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B2F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2766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FB2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887.64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343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2455212.24</w:t>
            </w:r>
          </w:p>
        </w:tc>
      </w:tr>
      <w:tr w14:paraId="66EAD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6735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10kV电力电缆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CD28">
            <w:pPr>
              <w:pStyle w:val="4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  <w:t xml:space="preserve"> ZR-YJV22-8.7/15KV-3*185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6102D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2926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127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ECB2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464.71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94CB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59018.17</w:t>
            </w:r>
          </w:p>
        </w:tc>
      </w:tr>
      <w:tr w14:paraId="0D863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D81D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633A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2514230.41</w:t>
            </w:r>
          </w:p>
        </w:tc>
      </w:tr>
    </w:tbl>
    <w:p w14:paraId="539B30ED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FBCE085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59C062F1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26" w:name="_Toc155942910"/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p w14:paraId="0378C03B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第三包：</w:t>
      </w:r>
      <w:bookmarkEnd w:id="26"/>
    </w:p>
    <w:p w14:paraId="7740F36A">
      <w:pPr>
        <w:pStyle w:val="4"/>
        <w:jc w:val="left"/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</w:pPr>
      <w:bookmarkStart w:id="27" w:name="_Toc15594291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1.采购产品规格型号及采购数量：</w:t>
      </w:r>
      <w:bookmarkEnd w:id="27"/>
      <w:bookmarkStart w:id="28" w:name="_Toc155942913"/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35kV电力电缆，</w:t>
      </w:r>
      <w:r>
        <w:rPr>
          <w:rFonts w:ascii="仿宋" w:hAnsi="仿宋" w:eastAsia="仿宋"/>
          <w:b w:val="0"/>
          <w:bCs w:val="0"/>
          <w:sz w:val="28"/>
          <w:szCs w:val="28"/>
          <w:highlight w:val="none"/>
        </w:rPr>
        <w:t>ZC-YJV22-26/35-3*400电缆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13313米。</w:t>
      </w:r>
    </w:p>
    <w:p w14:paraId="781287D1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28"/>
    </w:p>
    <w:p w14:paraId="4639B05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29" w:name="_Toc155942914"/>
      <w:r>
        <w:rPr>
          <w:rFonts w:hint="eastAsia" w:ascii="仿宋" w:hAnsi="仿宋" w:eastAsia="仿宋"/>
          <w:sz w:val="28"/>
          <w:szCs w:val="28"/>
          <w:highlight w:val="none"/>
        </w:rPr>
        <w:t>★2.1.供方需保证其所提供的产品必须是合同所确定的正宗原装产品，其型号、规格必须符合清单所列的各项技术指标，质量必须达到该项设备的国家标准及行业质量标准，严禁使用不合格材料，假一罚十；所附各种资料及配件（软件）等必须齐全。</w:t>
      </w:r>
    </w:p>
    <w:p w14:paraId="370532B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★2.2.产品的验收按照国家标准、行业标准及国网验收规范进行，如相关产品所用工程项目验收中，属国网供电公司电源系统，未通过国网验收的情形，需方有权进行退货处理。</w:t>
      </w:r>
    </w:p>
    <w:p w14:paraId="25C4748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★2.3.成交人需随货提供产品合格证、生产许可证，出厂试验报告、型式报告等。</w:t>
      </w:r>
    </w:p>
    <w:p w14:paraId="655A2C1A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★2.4.供货期：签订合同后15日内交货。</w:t>
      </w:r>
    </w:p>
    <w:p w14:paraId="0B692ECF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2.5.固定单价招标，供货量以供方实际订单为准，按实结算。</w:t>
      </w:r>
    </w:p>
    <w:p w14:paraId="06AE3347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2.6.服务地点：采购人指定地点。</w:t>
      </w:r>
    </w:p>
    <w:p w14:paraId="206EF208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29"/>
    </w:p>
    <w:p w14:paraId="2D18B49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0" w:name="_Toc155942915"/>
      <w:r>
        <w:rPr>
          <w:rFonts w:hint="eastAsia" w:ascii="仿宋" w:hAnsi="仿宋" w:eastAsia="仿宋"/>
          <w:sz w:val="28"/>
          <w:szCs w:val="28"/>
          <w:highlight w:val="none"/>
        </w:rPr>
        <w:t>签订合同后，需方预付20%预付款，供方组织电缆材料生产，产品到货验收合格后三个月后付至总货款的95％，供方需一次性开具全额增值税专用发票，13%税率，如遇税率调整，按照最新税率政策执行，剩余5％质保期满后一次性付清。</w:t>
      </w:r>
    </w:p>
    <w:p w14:paraId="48FE718D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30"/>
    </w:p>
    <w:p w14:paraId="5FDCB14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1" w:name="_Toc155942916"/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72D6E5A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产品到货后由采购人对货物进行详细而全面的检验，并出具产品验收报告，证明货物质量无任何问题，作为付款凭据之一。</w:t>
      </w:r>
    </w:p>
    <w:p w14:paraId="4CC20C0B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5.质量保证期</w:t>
      </w:r>
      <w:bookmarkEnd w:id="31"/>
    </w:p>
    <w:p w14:paraId="235D6C1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32" w:name="_Toc155942917"/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质保期：质保期为两年，在质保期头三个月内，如产品运行有严重质量的问题或质量缺陷，供方应免费予以更换，以保证需方正常运行。</w:t>
      </w:r>
    </w:p>
    <w:p w14:paraId="2CC35B04">
      <w:pPr>
        <w:pStyle w:val="4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32"/>
    </w:p>
    <w:p w14:paraId="77A6B04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0C20AA6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33ADA8E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7EA2EF33">
      <w:pPr>
        <w:spacing w:line="560" w:lineRule="exact"/>
        <w:rPr>
          <w:rStyle w:val="44"/>
          <w:rFonts w:ascii="仿宋" w:hAnsi="仿宋" w:eastAsia="仿宋"/>
          <w:b/>
          <w:sz w:val="28"/>
          <w:highlight w:val="none"/>
        </w:rPr>
      </w:pPr>
    </w:p>
    <w:p w14:paraId="5D6C1AB9">
      <w:pPr>
        <w:spacing w:line="560" w:lineRule="exact"/>
        <w:rPr>
          <w:rStyle w:val="44"/>
          <w:rFonts w:ascii="仿宋" w:hAnsi="仿宋" w:eastAsia="仿宋"/>
          <w:b/>
          <w:sz w:val="28"/>
          <w:highlight w:val="none"/>
        </w:rPr>
      </w:pPr>
    </w:p>
    <w:p w14:paraId="55A51268">
      <w:pPr>
        <w:spacing w:line="560" w:lineRule="exact"/>
        <w:rPr>
          <w:rStyle w:val="44"/>
          <w:rFonts w:ascii="仿宋" w:hAnsi="仿宋" w:eastAsia="仿宋"/>
          <w:b/>
          <w:sz w:val="28"/>
          <w:highlight w:val="none"/>
        </w:rPr>
      </w:pPr>
    </w:p>
    <w:p w14:paraId="51FAFD06">
      <w:pPr>
        <w:spacing w:line="560" w:lineRule="exact"/>
        <w:rPr>
          <w:rStyle w:val="44"/>
          <w:rFonts w:ascii="仿宋" w:hAnsi="仿宋" w:eastAsia="仿宋"/>
          <w:b/>
          <w:sz w:val="28"/>
          <w:highlight w:val="none"/>
        </w:rPr>
      </w:pPr>
    </w:p>
    <w:p w14:paraId="7888EC88">
      <w:pPr>
        <w:spacing w:line="560" w:lineRule="exact"/>
        <w:rPr>
          <w:rStyle w:val="44"/>
          <w:rFonts w:hint="eastAsia" w:ascii="仿宋" w:hAnsi="仿宋" w:eastAsia="仿宋"/>
          <w:b/>
          <w:sz w:val="28"/>
          <w:highlight w:val="none"/>
        </w:rPr>
      </w:pPr>
    </w:p>
    <w:p w14:paraId="64F0234A">
      <w:pPr>
        <w:spacing w:line="560" w:lineRule="exact"/>
        <w:rPr>
          <w:rStyle w:val="44"/>
          <w:rFonts w:hint="eastAsia" w:ascii="仿宋" w:hAnsi="仿宋" w:eastAsia="仿宋"/>
          <w:b/>
          <w:sz w:val="28"/>
          <w:highlight w:val="none"/>
        </w:rPr>
      </w:pPr>
    </w:p>
    <w:p w14:paraId="3FAF9789">
      <w:pPr>
        <w:spacing w:line="360" w:lineRule="auto"/>
        <w:rPr>
          <w:rStyle w:val="44"/>
          <w:rFonts w:ascii="仿宋" w:hAnsi="仿宋" w:eastAsia="仿宋"/>
          <w:b/>
          <w:bCs/>
          <w:sz w:val="28"/>
          <w:szCs w:val="28"/>
          <w:highlight w:val="none"/>
        </w:rPr>
      </w:pPr>
      <w:bookmarkStart w:id="33" w:name="_Toc155942918"/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附录：阿斯利康、足篮球学院等工程35kV环网柜、35kV电缆、10kV电缆等设备材料采购第三包35KV电力电缆清单控制价（</w:t>
      </w:r>
      <w:r>
        <w:rPr>
          <w:rFonts w:hint="eastAsia" w:ascii="仿宋" w:hAnsi="仿宋" w:eastAsia="仿宋"/>
          <w:sz w:val="28"/>
          <w:szCs w:val="28"/>
          <w:highlight w:val="none"/>
        </w:rPr>
        <w:t>含税价，增值税税率为13%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）</w:t>
      </w:r>
    </w:p>
    <w:tbl>
      <w:tblPr>
        <w:tblStyle w:val="28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16"/>
        <w:gridCol w:w="680"/>
        <w:gridCol w:w="1000"/>
        <w:gridCol w:w="1296"/>
        <w:gridCol w:w="1555"/>
      </w:tblGrid>
      <w:tr w14:paraId="0C722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8EA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F40F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0912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2DF8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采购数量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2183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控制单价（元）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4D86"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控制总价（元）</w:t>
            </w:r>
          </w:p>
        </w:tc>
      </w:tr>
      <w:tr w14:paraId="17DC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0B5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35kV电力电缆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3CE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  <w:highlight w:val="none"/>
              </w:rPr>
              <w:t>ZC-YJV22-26/35-3*400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E2B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米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621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13313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7D7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990.08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8D4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13180935.04</w:t>
            </w:r>
          </w:p>
        </w:tc>
      </w:tr>
      <w:tr w14:paraId="0331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D84D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2973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13180935.04</w:t>
            </w:r>
          </w:p>
        </w:tc>
      </w:tr>
    </w:tbl>
    <w:p w14:paraId="1760FFD1"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3F9BF41E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18"/>
    <w:bookmarkEnd w:id="33"/>
    <w:p w14:paraId="738541DC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34" w:name="_Toc300835213"/>
      <w:bookmarkStart w:id="35" w:name="_Toc152042580"/>
      <w:bookmarkStart w:id="36" w:name="_Toc152045791"/>
      <w:bookmarkStart w:id="37" w:name="_Toc144974860"/>
      <w:bookmarkStart w:id="38" w:name="_Toc247527831"/>
      <w:bookmarkStart w:id="39" w:name="_Toc24751428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 </w:t>
      </w:r>
    </w:p>
    <w:p w14:paraId="7777BA28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34"/>
      <w:bookmarkEnd w:id="35"/>
      <w:bookmarkEnd w:id="36"/>
      <w:bookmarkEnd w:id="37"/>
      <w:bookmarkEnd w:id="38"/>
      <w:bookmarkEnd w:id="39"/>
    </w:p>
    <w:p w14:paraId="3558C07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738CC9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</w:t>
      </w:r>
    </w:p>
    <w:p w14:paraId="2B69A49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</w:p>
    <w:p w14:paraId="62F3CCC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</w:p>
    <w:p w14:paraId="2BB6923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 w14:paraId="7556E88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</w:p>
    <w:p w14:paraId="4657FE1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5EDABD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性别：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年龄：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职务：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</w:p>
    <w:p w14:paraId="21B66BF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系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（供应商名称）的法定代表人。</w:t>
      </w:r>
    </w:p>
    <w:p w14:paraId="2B4EC58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5875CD0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234961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324CC1D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DB1BA4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508DE03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76740E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D6302B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CCBFF9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713069A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455403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供应商：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（公章）</w:t>
      </w:r>
    </w:p>
    <w:p w14:paraId="0E7503E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0091DFAE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1ACD6B6D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6EE69C1A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952798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17E3D0BD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641555DD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53C9949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277ECC51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月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300C292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85F2180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1111DB0B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56DE283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342512D6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13BCBD7C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2ECAD7F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0366CCE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7E8AFBF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6A1BB9E8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3AB1D9C4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  <w:bookmarkStart w:id="40" w:name="_GoBack"/>
      <w:bookmarkEnd w:id="4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83D1E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36</w:t>
    </w:r>
    <w:r>
      <w:rPr>
        <w:rFonts w:hint="eastAsia"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51B6"/>
    <w:rsid w:val="00007ACB"/>
    <w:rsid w:val="0001263A"/>
    <w:rsid w:val="0001346E"/>
    <w:rsid w:val="000153E7"/>
    <w:rsid w:val="00015B21"/>
    <w:rsid w:val="00022F25"/>
    <w:rsid w:val="00027C90"/>
    <w:rsid w:val="00031933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2639"/>
    <w:rsid w:val="00072925"/>
    <w:rsid w:val="00075401"/>
    <w:rsid w:val="00081413"/>
    <w:rsid w:val="000838DA"/>
    <w:rsid w:val="00083915"/>
    <w:rsid w:val="0008678E"/>
    <w:rsid w:val="00091713"/>
    <w:rsid w:val="0009478B"/>
    <w:rsid w:val="00095E5A"/>
    <w:rsid w:val="000968D0"/>
    <w:rsid w:val="000A403E"/>
    <w:rsid w:val="000A416D"/>
    <w:rsid w:val="000A5498"/>
    <w:rsid w:val="000A5DA9"/>
    <w:rsid w:val="000A6840"/>
    <w:rsid w:val="000B6D30"/>
    <w:rsid w:val="000C470B"/>
    <w:rsid w:val="000C537E"/>
    <w:rsid w:val="000C70FF"/>
    <w:rsid w:val="000C7715"/>
    <w:rsid w:val="000D1DDD"/>
    <w:rsid w:val="000D5EC7"/>
    <w:rsid w:val="000E13F9"/>
    <w:rsid w:val="000E190C"/>
    <w:rsid w:val="000E3660"/>
    <w:rsid w:val="000E47E5"/>
    <w:rsid w:val="000E4C75"/>
    <w:rsid w:val="0010179C"/>
    <w:rsid w:val="001105A1"/>
    <w:rsid w:val="00116CDF"/>
    <w:rsid w:val="0012476C"/>
    <w:rsid w:val="00134134"/>
    <w:rsid w:val="00134E02"/>
    <w:rsid w:val="001369C5"/>
    <w:rsid w:val="00136D33"/>
    <w:rsid w:val="0013735F"/>
    <w:rsid w:val="001404D8"/>
    <w:rsid w:val="0014169B"/>
    <w:rsid w:val="00145072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74D3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677"/>
    <w:rsid w:val="0034100C"/>
    <w:rsid w:val="00342E79"/>
    <w:rsid w:val="00345F3C"/>
    <w:rsid w:val="003479A8"/>
    <w:rsid w:val="00351413"/>
    <w:rsid w:val="00351D30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4942"/>
    <w:rsid w:val="003A7DC0"/>
    <w:rsid w:val="003B5CD9"/>
    <w:rsid w:val="003B6BF5"/>
    <w:rsid w:val="003B7ED7"/>
    <w:rsid w:val="003C1254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11CB2"/>
    <w:rsid w:val="004151AA"/>
    <w:rsid w:val="00420E31"/>
    <w:rsid w:val="00432FB1"/>
    <w:rsid w:val="004359BE"/>
    <w:rsid w:val="0043685A"/>
    <w:rsid w:val="00436A01"/>
    <w:rsid w:val="0043720C"/>
    <w:rsid w:val="004378DD"/>
    <w:rsid w:val="00441E4E"/>
    <w:rsid w:val="0044250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C3BB2"/>
    <w:rsid w:val="004D3BB6"/>
    <w:rsid w:val="004D424D"/>
    <w:rsid w:val="004D670A"/>
    <w:rsid w:val="004D6E3B"/>
    <w:rsid w:val="004D7CB1"/>
    <w:rsid w:val="004E2DA7"/>
    <w:rsid w:val="004F0787"/>
    <w:rsid w:val="004F2902"/>
    <w:rsid w:val="004F3A17"/>
    <w:rsid w:val="005048B8"/>
    <w:rsid w:val="00511276"/>
    <w:rsid w:val="0052176F"/>
    <w:rsid w:val="00523F03"/>
    <w:rsid w:val="0052406E"/>
    <w:rsid w:val="00525736"/>
    <w:rsid w:val="00530ECB"/>
    <w:rsid w:val="00537B8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91523"/>
    <w:rsid w:val="005942D1"/>
    <w:rsid w:val="0059465E"/>
    <w:rsid w:val="00597C3F"/>
    <w:rsid w:val="005A6649"/>
    <w:rsid w:val="005A7B27"/>
    <w:rsid w:val="005B6AEE"/>
    <w:rsid w:val="005B6B8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79CC"/>
    <w:rsid w:val="00630E4B"/>
    <w:rsid w:val="006321B7"/>
    <w:rsid w:val="00636209"/>
    <w:rsid w:val="00642238"/>
    <w:rsid w:val="00651B6A"/>
    <w:rsid w:val="00654F08"/>
    <w:rsid w:val="006626EF"/>
    <w:rsid w:val="00663EAB"/>
    <w:rsid w:val="0066419D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E60DA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764C0"/>
    <w:rsid w:val="0078245C"/>
    <w:rsid w:val="007862E0"/>
    <w:rsid w:val="0078632B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36C4"/>
    <w:rsid w:val="007C3902"/>
    <w:rsid w:val="007C659E"/>
    <w:rsid w:val="007D5AA2"/>
    <w:rsid w:val="007E0809"/>
    <w:rsid w:val="007E23A9"/>
    <w:rsid w:val="007E3E59"/>
    <w:rsid w:val="007E6D3C"/>
    <w:rsid w:val="007F005E"/>
    <w:rsid w:val="007F12E4"/>
    <w:rsid w:val="007F33A7"/>
    <w:rsid w:val="007F33DE"/>
    <w:rsid w:val="007F37E4"/>
    <w:rsid w:val="007F40F6"/>
    <w:rsid w:val="007F4FC5"/>
    <w:rsid w:val="007F50B8"/>
    <w:rsid w:val="007F6920"/>
    <w:rsid w:val="007F79EB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76A8"/>
    <w:rsid w:val="008F54BE"/>
    <w:rsid w:val="008F56A9"/>
    <w:rsid w:val="008F7334"/>
    <w:rsid w:val="008F7577"/>
    <w:rsid w:val="009030B4"/>
    <w:rsid w:val="0091264D"/>
    <w:rsid w:val="00924980"/>
    <w:rsid w:val="00925CCF"/>
    <w:rsid w:val="00932DDF"/>
    <w:rsid w:val="00934FA6"/>
    <w:rsid w:val="009357A0"/>
    <w:rsid w:val="00935DD1"/>
    <w:rsid w:val="00937DEA"/>
    <w:rsid w:val="00942A62"/>
    <w:rsid w:val="009438A6"/>
    <w:rsid w:val="00943DE6"/>
    <w:rsid w:val="00951851"/>
    <w:rsid w:val="00952C6B"/>
    <w:rsid w:val="00955D49"/>
    <w:rsid w:val="0095603D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91BEA"/>
    <w:rsid w:val="0099591F"/>
    <w:rsid w:val="00995968"/>
    <w:rsid w:val="009A19EE"/>
    <w:rsid w:val="009A1E9A"/>
    <w:rsid w:val="009A4B15"/>
    <w:rsid w:val="009A6353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C5B"/>
    <w:rsid w:val="009E51F4"/>
    <w:rsid w:val="009F1260"/>
    <w:rsid w:val="009F1BC8"/>
    <w:rsid w:val="009F37C6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437F9"/>
    <w:rsid w:val="00A46AB4"/>
    <w:rsid w:val="00A50087"/>
    <w:rsid w:val="00A50DB8"/>
    <w:rsid w:val="00A53064"/>
    <w:rsid w:val="00A63E21"/>
    <w:rsid w:val="00A64087"/>
    <w:rsid w:val="00A660C6"/>
    <w:rsid w:val="00A73160"/>
    <w:rsid w:val="00A7468D"/>
    <w:rsid w:val="00A827F9"/>
    <w:rsid w:val="00A846AC"/>
    <w:rsid w:val="00A84747"/>
    <w:rsid w:val="00A8765A"/>
    <w:rsid w:val="00A94E5C"/>
    <w:rsid w:val="00A97948"/>
    <w:rsid w:val="00AA0282"/>
    <w:rsid w:val="00AA3E79"/>
    <w:rsid w:val="00AA46F2"/>
    <w:rsid w:val="00AA5B49"/>
    <w:rsid w:val="00AA78A2"/>
    <w:rsid w:val="00AB3301"/>
    <w:rsid w:val="00AB5316"/>
    <w:rsid w:val="00AB5710"/>
    <w:rsid w:val="00AC0427"/>
    <w:rsid w:val="00AC1CC4"/>
    <w:rsid w:val="00AC2D6F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43E0"/>
    <w:rsid w:val="00B86632"/>
    <w:rsid w:val="00B93953"/>
    <w:rsid w:val="00B9500B"/>
    <w:rsid w:val="00B956D8"/>
    <w:rsid w:val="00B96A69"/>
    <w:rsid w:val="00B9720A"/>
    <w:rsid w:val="00B97C3E"/>
    <w:rsid w:val="00B97FF7"/>
    <w:rsid w:val="00BA06A6"/>
    <w:rsid w:val="00BA2610"/>
    <w:rsid w:val="00BB026E"/>
    <w:rsid w:val="00BB263B"/>
    <w:rsid w:val="00BB26AB"/>
    <w:rsid w:val="00BB3D0F"/>
    <w:rsid w:val="00BB4CE4"/>
    <w:rsid w:val="00BD2006"/>
    <w:rsid w:val="00BD27A6"/>
    <w:rsid w:val="00BD4C27"/>
    <w:rsid w:val="00BD6FF7"/>
    <w:rsid w:val="00BE00C5"/>
    <w:rsid w:val="00BE0920"/>
    <w:rsid w:val="00BE621B"/>
    <w:rsid w:val="00BE6406"/>
    <w:rsid w:val="00BE6886"/>
    <w:rsid w:val="00BE6CED"/>
    <w:rsid w:val="00BF14CE"/>
    <w:rsid w:val="00BF4E2D"/>
    <w:rsid w:val="00C02577"/>
    <w:rsid w:val="00C11FE6"/>
    <w:rsid w:val="00C166B0"/>
    <w:rsid w:val="00C177D5"/>
    <w:rsid w:val="00C20279"/>
    <w:rsid w:val="00C268AC"/>
    <w:rsid w:val="00C2698E"/>
    <w:rsid w:val="00C30987"/>
    <w:rsid w:val="00C35DC0"/>
    <w:rsid w:val="00C37636"/>
    <w:rsid w:val="00C4210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4871"/>
    <w:rsid w:val="00CD5531"/>
    <w:rsid w:val="00CE301F"/>
    <w:rsid w:val="00CE6139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E35D1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AE9"/>
    <w:rsid w:val="00E4423F"/>
    <w:rsid w:val="00E444AF"/>
    <w:rsid w:val="00E448B5"/>
    <w:rsid w:val="00E44CAC"/>
    <w:rsid w:val="00E46CC3"/>
    <w:rsid w:val="00E62319"/>
    <w:rsid w:val="00E6487D"/>
    <w:rsid w:val="00E66218"/>
    <w:rsid w:val="00E72FC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3C9A"/>
    <w:rsid w:val="00EC48A1"/>
    <w:rsid w:val="00EC5361"/>
    <w:rsid w:val="00EC5420"/>
    <w:rsid w:val="00EC7A7C"/>
    <w:rsid w:val="00ED2C30"/>
    <w:rsid w:val="00ED40F7"/>
    <w:rsid w:val="00ED4EB6"/>
    <w:rsid w:val="00ED6EF1"/>
    <w:rsid w:val="00EE193E"/>
    <w:rsid w:val="00EE5981"/>
    <w:rsid w:val="00EE75F7"/>
    <w:rsid w:val="00EF1240"/>
    <w:rsid w:val="00EF20F3"/>
    <w:rsid w:val="00EF3A62"/>
    <w:rsid w:val="00EF3D39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759E"/>
    <w:rsid w:val="00F37714"/>
    <w:rsid w:val="00F4328C"/>
    <w:rsid w:val="00F43F0D"/>
    <w:rsid w:val="00F51DE2"/>
    <w:rsid w:val="00F51F76"/>
    <w:rsid w:val="00F529AA"/>
    <w:rsid w:val="00F52B16"/>
    <w:rsid w:val="00F53EC3"/>
    <w:rsid w:val="00F54BD9"/>
    <w:rsid w:val="00F54FEA"/>
    <w:rsid w:val="00F554E8"/>
    <w:rsid w:val="00F575AD"/>
    <w:rsid w:val="00F63D15"/>
    <w:rsid w:val="00F665AB"/>
    <w:rsid w:val="00F667AB"/>
    <w:rsid w:val="00F75558"/>
    <w:rsid w:val="00F75C54"/>
    <w:rsid w:val="00F764EC"/>
    <w:rsid w:val="00F76C73"/>
    <w:rsid w:val="00F8063A"/>
    <w:rsid w:val="00F81DD9"/>
    <w:rsid w:val="00F82986"/>
    <w:rsid w:val="00F83661"/>
    <w:rsid w:val="00F85776"/>
    <w:rsid w:val="00F87C56"/>
    <w:rsid w:val="00F93739"/>
    <w:rsid w:val="00F9728D"/>
    <w:rsid w:val="00FA2BB0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44F30A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3FC54BC9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unhideWhenUsed/>
    <w:qFormat/>
    <w:uiPriority w:val="0"/>
    <w:rPr>
      <w:rFonts w:cs="Times New Roman"/>
    </w:rPr>
  </w:style>
  <w:style w:type="character" w:styleId="32">
    <w:name w:val="Hyperlink"/>
    <w:unhideWhenUsed/>
    <w:qFormat/>
    <w:uiPriority w:val="99"/>
    <w:rPr>
      <w:color w:val="0563C1"/>
      <w:u w:val="single"/>
    </w:rPr>
  </w:style>
  <w:style w:type="character" w:styleId="33">
    <w:name w:val="annotation reference"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qFormat/>
    <w:uiPriority w:val="0"/>
    <w:rPr>
      <w:kern w:val="1"/>
      <w:sz w:val="30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qFormat/>
    <w:uiPriority w:val="0"/>
    <w:rPr>
      <w:szCs w:val="20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qFormat/>
    <w:uiPriority w:val="99"/>
    <w:rPr>
      <w:rFonts w:ascii="宋体" w:hAnsi="宋体" w:cs="宋体"/>
      <w:sz w:val="24"/>
      <w:szCs w:val="24"/>
    </w:rPr>
  </w:style>
  <w:style w:type="paragraph" w:customStyle="1" w:styleId="16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683D-9BD7-41C6-8F1B-FDD13CF24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13</Pages>
  <Words>12653</Words>
  <Characters>13677</Characters>
  <Lines>131</Lines>
  <Paragraphs>36</Paragraphs>
  <TotalTime>9</TotalTime>
  <ScaleCrop>false</ScaleCrop>
  <LinksUpToDate>false</LinksUpToDate>
  <CharactersWithSpaces>15301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2024-01-15T06:03:00Z</cp:lastPrinted>
  <dcterms:modified xsi:type="dcterms:W3CDTF">2024-09-23T01:49:16Z</dcterms:modified>
  <dc:subject>青岛市政府采购采购文件范本</dc:subject>
  <dc:title>青岛市政府采购采购文件范本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AB0E5AE9865C4900B2552F388743600E</vt:lpwstr>
  </property>
</Properties>
</file>