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afterLines="50" w:line="500" w:lineRule="exact"/>
        <w:jc w:val="center"/>
        <w:textAlignment w:val="auto"/>
        <w:rPr>
          <w:rFonts w:ascii="宋体" w:hAnsi="宋体"/>
          <w:b/>
          <w:bCs/>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青岛高新城维实业有限公司现对城维公司排水管道封堵气囊进行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left="2400" w:leftChars="200" w:hanging="1800" w:hangingChars="600"/>
        <w:textAlignment w:val="auto"/>
        <w:rPr>
          <w:rFonts w:hint="default" w:ascii="仿宋_GB2312" w:hAnsi="仿宋_GB2312" w:eastAsia="仿宋_GB2312" w:cs="仿宋_GB2312"/>
          <w:color w:val="000000"/>
          <w:szCs w:val="30"/>
          <w:highlight w:val="none"/>
          <w:lang w:val="en-US" w:eastAsia="zh-CN"/>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城维公司排水管道封堵气囊</w:t>
      </w:r>
      <w:r>
        <w:rPr>
          <w:rFonts w:hint="eastAsia" w:ascii="仿宋_GB2312" w:hAnsi="仿宋_GB2312" w:cs="仿宋_GB2312"/>
          <w:color w:val="000000"/>
          <w:szCs w:val="30"/>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二、招标控制价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详见采购清单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三、投标资格要求：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黑体" w:cs="宋体"/>
          <w:sz w:val="24"/>
          <w:highlight w:val="none"/>
        </w:rPr>
      </w:pPr>
      <w:r>
        <w:rPr>
          <w:rFonts w:hint="eastAsia" w:ascii="黑体" w:hAnsi="黑体" w:eastAsia="黑体" w:cs="黑体"/>
          <w:szCs w:val="30"/>
          <w:highlight w:val="none"/>
        </w:rPr>
        <w:t>四、资格审查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12</w:t>
      </w:r>
      <w:r>
        <w:rPr>
          <w:rFonts w:hint="eastAsia" w:ascii="仿宋_GB2312" w:hAnsi="仿宋_GB2312" w:cs="仿宋_GB2312"/>
          <w:szCs w:val="30"/>
          <w:highlight w:val="none"/>
        </w:rPr>
        <w:t>月</w:t>
      </w:r>
      <w:r>
        <w:rPr>
          <w:rFonts w:ascii="仿宋_GB2312" w:hAnsi="仿宋_GB2312" w:cs="仿宋_GB2312"/>
          <w:szCs w:val="30"/>
          <w:highlight w:val="none"/>
        </w:rPr>
        <w:t>1</w:t>
      </w:r>
      <w:r>
        <w:rPr>
          <w:rFonts w:hint="eastAsia" w:ascii="仿宋_GB2312" w:hAnsi="仿宋_GB2312" w:cs="仿宋_GB2312"/>
          <w:szCs w:val="30"/>
          <w:highlight w:val="none"/>
        </w:rPr>
        <w:t>日</w:t>
      </w:r>
      <w:r>
        <w:rPr>
          <w:rFonts w:ascii="仿宋_GB2312" w:hAnsi="仿宋_GB2312" w:cs="仿宋_GB2312"/>
          <w:szCs w:val="30"/>
          <w:highlight w:val="none"/>
        </w:rPr>
        <w:t>12</w:t>
      </w:r>
      <w:r>
        <w:rPr>
          <w:rFonts w:hint="eastAsia" w:ascii="仿宋_GB2312" w:hAnsi="仿宋_GB2312" w:cs="仿宋_GB2312"/>
          <w:szCs w:val="30"/>
          <w:highlight w:val="none"/>
        </w:rPr>
        <w:t>时00分。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hint="eastAsia" w:ascii="仿宋_GB2312" w:hAnsi="仿宋_GB2312" w:cs="仿宋_GB2312"/>
          <w:sz w:val="32"/>
          <w:szCs w:val="32"/>
          <w:highlight w:val="none"/>
        </w:rPr>
        <w:t>qdgxcwscb@163.com</w:t>
      </w:r>
      <w:r>
        <w:rPr>
          <w:rFonts w:hint="eastAsia" w:ascii="仿宋_GB2312" w:hAnsi="仿宋_GB2312" w:cs="仿宋_GB2312"/>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w:t>
      </w:r>
      <w:r>
        <w:rPr>
          <w:rFonts w:hint="default" w:ascii="仿宋_GB2312" w:hAnsi="仿宋_GB2312" w:cs="仿宋_GB2312"/>
          <w:szCs w:val="30"/>
          <w:highlight w:val="none"/>
          <w:lang w:val="en-US"/>
        </w:rPr>
        <w:t>审</w:t>
      </w:r>
      <w:r>
        <w:rPr>
          <w:rFonts w:hint="eastAsia"/>
          <w:highlight w:val="none"/>
          <w:lang w:val="en-US" w:eastAsia="zh-CN"/>
        </w:rPr>
        <w:t>核</w:t>
      </w:r>
      <w:r>
        <w:rPr>
          <w:rFonts w:hint="eastAsia" w:ascii="仿宋_GB2312" w:hAnsi="仿宋_GB2312" w:cs="仿宋_GB2312"/>
          <w:szCs w:val="30"/>
          <w:highlight w:val="none"/>
        </w:rPr>
        <w:t>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1.投标文件递交时间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12</w:t>
      </w:r>
      <w:r>
        <w:rPr>
          <w:rFonts w:hint="eastAsia" w:ascii="仿宋_GB2312" w:hAnsi="仿宋_GB2312" w:cs="仿宋_GB2312"/>
          <w:szCs w:val="30"/>
          <w:highlight w:val="none"/>
        </w:rPr>
        <w:t>月</w:t>
      </w:r>
      <w:r>
        <w:rPr>
          <w:rFonts w:ascii="仿宋_GB2312" w:hAnsi="仿宋_GB2312" w:cs="仿宋_GB2312"/>
          <w:szCs w:val="30"/>
          <w:highlight w:val="none"/>
        </w:rPr>
        <w:t>4</w:t>
      </w:r>
      <w:r>
        <w:rPr>
          <w:rFonts w:hint="eastAsia" w:ascii="仿宋_GB2312" w:hAnsi="仿宋_GB2312" w:cs="仿宋_GB2312"/>
          <w:szCs w:val="30"/>
          <w:highlight w:val="none"/>
        </w:rPr>
        <w:t>日</w:t>
      </w:r>
      <w:r>
        <w:rPr>
          <w:rFonts w:ascii="仿宋_GB2312" w:hAnsi="仿宋_GB2312" w:cs="仿宋_GB2312"/>
          <w:szCs w:val="30"/>
          <w:highlight w:val="none"/>
        </w:rPr>
        <w:t>8</w:t>
      </w:r>
      <w:r>
        <w:rPr>
          <w:rFonts w:hint="eastAsia" w:ascii="仿宋_GB2312" w:hAnsi="仿宋_GB2312" w:cs="仿宋_GB2312"/>
          <w:szCs w:val="30"/>
          <w:highlight w:val="none"/>
        </w:rPr>
        <w:t>时</w:t>
      </w:r>
      <w:r>
        <w:rPr>
          <w:rFonts w:ascii="仿宋_GB2312" w:hAnsi="仿宋_GB2312" w:cs="仿宋_GB2312"/>
          <w:szCs w:val="30"/>
          <w:highlight w:val="none"/>
        </w:rPr>
        <w:t>30</w:t>
      </w:r>
      <w:r>
        <w:rPr>
          <w:rFonts w:hint="eastAsia" w:ascii="仿宋_GB2312" w:hAnsi="仿宋_GB2312" w:cs="仿宋_GB2312"/>
          <w:szCs w:val="30"/>
          <w:highlight w:val="none"/>
        </w:rPr>
        <w:t>分至</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0</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1.2地点：青岛市高新区河东路3</w:t>
      </w:r>
      <w:r>
        <w:rPr>
          <w:rFonts w:ascii="仿宋_GB2312" w:hAnsi="仿宋_GB2312" w:cs="仿宋_GB2312"/>
          <w:szCs w:val="30"/>
          <w:highlight w:val="none"/>
        </w:rPr>
        <w:t>68</w:t>
      </w:r>
      <w:r>
        <w:rPr>
          <w:rFonts w:hint="eastAsia" w:ascii="仿宋_GB2312" w:hAnsi="仿宋_GB2312" w:cs="仿宋_GB2312"/>
          <w:szCs w:val="30"/>
          <w:highlight w:val="none"/>
        </w:rPr>
        <w:t>号3号楼5层会议室。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2.开标时间及地点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12</w:t>
      </w:r>
      <w:r>
        <w:rPr>
          <w:rFonts w:hint="eastAsia" w:ascii="仿宋_GB2312" w:hAnsi="仿宋_GB2312" w:cs="仿宋_GB2312"/>
          <w:szCs w:val="30"/>
          <w:highlight w:val="none"/>
        </w:rPr>
        <w:t>月</w:t>
      </w:r>
      <w:r>
        <w:rPr>
          <w:rFonts w:ascii="仿宋_GB2312" w:hAnsi="仿宋_GB2312" w:cs="仿宋_GB2312"/>
          <w:szCs w:val="30"/>
          <w:highlight w:val="none"/>
        </w:rPr>
        <w:t>4</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0</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2.2地点：青岛市高新区河东路3</w:t>
      </w:r>
      <w:r>
        <w:rPr>
          <w:rFonts w:ascii="仿宋_GB2312" w:hAnsi="仿宋_GB2312" w:cs="仿宋_GB2312"/>
          <w:szCs w:val="30"/>
          <w:highlight w:val="none"/>
        </w:rPr>
        <w:t>68</w:t>
      </w:r>
      <w:r>
        <w:rPr>
          <w:rFonts w:hint="eastAsia" w:ascii="仿宋_GB2312" w:hAnsi="仿宋_GB2312" w:cs="仿宋_GB2312"/>
          <w:szCs w:val="30"/>
          <w:highlight w:val="none"/>
        </w:rPr>
        <w:t>号3号楼5层会议室。</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六、联系方式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联系人：曲工</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电  话：15966833705</w:t>
      </w: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keepNext w:val="0"/>
        <w:keepLines w:val="0"/>
        <w:pageBreakBefore w:val="0"/>
        <w:widowControl w:val="0"/>
        <w:kinsoku/>
        <w:wordWrap/>
        <w:overflowPunct/>
        <w:topLinePunct w:val="0"/>
        <w:autoSpaceDE/>
        <w:autoSpaceDN/>
        <w:bidi w:val="0"/>
        <w:adjustRightInd/>
        <w:snapToGrid/>
        <w:spacing w:line="500" w:lineRule="exact"/>
        <w:ind w:firstLine="2100" w:firstLineChars="700"/>
        <w:textAlignment w:val="auto"/>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ascii="仿宋_GB2312" w:hAnsi="仿宋_GB2312" w:cs="仿宋_GB2312"/>
          <w:szCs w:val="30"/>
          <w:highlight w:val="none"/>
        </w:rPr>
        <w:t>11</w:t>
      </w:r>
      <w:r>
        <w:rPr>
          <w:rFonts w:hint="eastAsia" w:ascii="仿宋_GB2312" w:hAnsi="仿宋_GB2312" w:cs="仿宋_GB2312"/>
          <w:szCs w:val="30"/>
          <w:highlight w:val="none"/>
        </w:rPr>
        <w:t>月</w:t>
      </w:r>
      <w:r>
        <w:rPr>
          <w:rFonts w:ascii="仿宋_GB2312" w:hAnsi="仿宋_GB2312" w:cs="仿宋_GB2312"/>
          <w:szCs w:val="30"/>
          <w:highlight w:val="none"/>
        </w:rPr>
        <w:t>28</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818"/>
        <w:gridCol w:w="2386"/>
        <w:gridCol w:w="589"/>
        <w:gridCol w:w="1008"/>
        <w:gridCol w:w="1121"/>
        <w:gridCol w:w="123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3"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序号</w:t>
            </w:r>
          </w:p>
        </w:tc>
        <w:tc>
          <w:tcPr>
            <w:tcW w:w="818"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名称</w:t>
            </w:r>
          </w:p>
        </w:tc>
        <w:tc>
          <w:tcPr>
            <w:tcW w:w="2386"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规格</w:t>
            </w:r>
          </w:p>
        </w:tc>
        <w:tc>
          <w:tcPr>
            <w:tcW w:w="589"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单位</w:t>
            </w:r>
          </w:p>
        </w:tc>
        <w:tc>
          <w:tcPr>
            <w:tcW w:w="1008"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数量</w:t>
            </w:r>
          </w:p>
        </w:tc>
        <w:tc>
          <w:tcPr>
            <w:tcW w:w="1121"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含税控制单价（元）</w:t>
            </w:r>
          </w:p>
        </w:tc>
        <w:tc>
          <w:tcPr>
            <w:tcW w:w="1234"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含税控制总价（元）</w:t>
            </w:r>
          </w:p>
        </w:tc>
        <w:tc>
          <w:tcPr>
            <w:tcW w:w="687" w:type="dxa"/>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r>
              <w:rPr>
                <w:rFonts w:hint="eastAsia" w:ascii="仿宋" w:hAnsi="仿宋" w:eastAsia="仿宋" w:cs="方正小标宋_GBK"/>
                <w:b/>
                <w:bCs/>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p>
        </w:tc>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宋体"/>
                <w:kern w:val="0"/>
                <w:sz w:val="20"/>
                <w:szCs w:val="20"/>
                <w:highlight w:val="none"/>
              </w:rPr>
            </w:pPr>
            <w:r>
              <w:rPr>
                <w:rFonts w:hint="eastAsia" w:eastAsia="宋体"/>
                <w:kern w:val="0"/>
                <w:sz w:val="20"/>
                <w:szCs w:val="20"/>
                <w:highlight w:val="none"/>
              </w:rPr>
              <w:t>气囊</w:t>
            </w:r>
          </w:p>
        </w:tc>
        <w:tc>
          <w:tcPr>
            <w:tcW w:w="2386" w:type="dxa"/>
            <w:tcBorders>
              <w:top w:val="single" w:color="auto" w:sz="4" w:space="0"/>
              <w:left w:val="nil"/>
              <w:bottom w:val="single" w:color="auto" w:sz="4" w:space="0"/>
              <w:right w:val="single" w:color="auto" w:sz="4" w:space="0"/>
            </w:tcBorders>
            <w:shd w:val="clear" w:color="auto" w:fill="auto"/>
            <w:noWrap/>
            <w:vAlign w:val="center"/>
          </w:tcPr>
          <w:p>
            <w:pPr>
              <w:rPr>
                <w:sz w:val="20"/>
                <w:szCs w:val="20"/>
                <w:highlight w:val="none"/>
              </w:rPr>
            </w:pPr>
            <w:r>
              <w:rPr>
                <w:rFonts w:hint="eastAsia"/>
                <w:sz w:val="20"/>
                <w:szCs w:val="20"/>
                <w:highlight w:val="none"/>
              </w:rPr>
              <w:t>高压封堵气囊、DN</w:t>
            </w:r>
            <w:r>
              <w:rPr>
                <w:sz w:val="20"/>
                <w:szCs w:val="20"/>
                <w:highlight w:val="none"/>
              </w:rPr>
              <w:t>1200</w:t>
            </w:r>
          </w:p>
        </w:tc>
        <w:tc>
          <w:tcPr>
            <w:tcW w:w="589" w:type="dxa"/>
            <w:tcBorders>
              <w:top w:val="single" w:color="auto" w:sz="4" w:space="0"/>
              <w:left w:val="nil"/>
              <w:bottom w:val="single" w:color="auto" w:sz="4" w:space="0"/>
              <w:right w:val="single" w:color="auto" w:sz="4" w:space="0"/>
            </w:tcBorders>
            <w:shd w:val="clear" w:color="auto" w:fill="auto"/>
            <w:noWrap/>
            <w:vAlign w:val="center"/>
          </w:tcPr>
          <w:p>
            <w:pPr>
              <w:jc w:val="center"/>
              <w:rPr>
                <w:bCs/>
                <w:sz w:val="20"/>
                <w:szCs w:val="20"/>
                <w:highlight w:val="none"/>
              </w:rPr>
            </w:pPr>
            <w:r>
              <w:rPr>
                <w:rFonts w:hint="eastAsia"/>
                <w:bCs/>
                <w:sz w:val="20"/>
                <w:szCs w:val="20"/>
                <w:highlight w:val="none"/>
              </w:rPr>
              <w:t>套</w:t>
            </w:r>
          </w:p>
        </w:tc>
        <w:tc>
          <w:tcPr>
            <w:tcW w:w="1008"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highlight w:val="none"/>
              </w:rPr>
            </w:pPr>
            <w:r>
              <w:rPr>
                <w:rFonts w:hint="eastAsia"/>
                <w:sz w:val="20"/>
                <w:szCs w:val="20"/>
                <w:highlight w:val="none"/>
              </w:rPr>
              <w:t>1</w:t>
            </w:r>
            <w:r>
              <w:rPr>
                <w:sz w:val="20"/>
                <w:szCs w:val="20"/>
                <w:highlight w:val="none"/>
              </w:rPr>
              <w:t>0</w:t>
            </w:r>
          </w:p>
        </w:tc>
        <w:tc>
          <w:tcPr>
            <w:tcW w:w="11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bCs/>
                <w:kern w:val="0"/>
                <w:sz w:val="20"/>
                <w:szCs w:val="20"/>
                <w:highlight w:val="none"/>
              </w:rPr>
            </w:pPr>
            <w:r>
              <w:rPr>
                <w:rFonts w:hint="eastAsia" w:eastAsia="宋体"/>
                <w:bCs/>
                <w:kern w:val="0"/>
                <w:sz w:val="20"/>
                <w:szCs w:val="20"/>
                <w:highlight w:val="none"/>
              </w:rPr>
              <w:t>6</w:t>
            </w:r>
            <w:r>
              <w:rPr>
                <w:rFonts w:eastAsia="宋体"/>
                <w:bCs/>
                <w:kern w:val="0"/>
                <w:sz w:val="20"/>
                <w:szCs w:val="20"/>
                <w:highlight w:val="none"/>
              </w:rPr>
              <w:t>760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宋体"/>
                <w:bCs/>
                <w:kern w:val="0"/>
                <w:sz w:val="20"/>
                <w:szCs w:val="20"/>
                <w:highlight w:val="none"/>
              </w:rPr>
            </w:pPr>
            <w:r>
              <w:rPr>
                <w:rFonts w:hint="eastAsia" w:eastAsia="宋体"/>
                <w:bCs/>
                <w:kern w:val="0"/>
                <w:sz w:val="20"/>
                <w:szCs w:val="20"/>
                <w:highlight w:val="none"/>
              </w:rPr>
              <w:t>6</w:t>
            </w:r>
            <w:r>
              <w:rPr>
                <w:rFonts w:eastAsia="宋体"/>
                <w:bCs/>
                <w:kern w:val="0"/>
                <w:sz w:val="20"/>
                <w:szCs w:val="20"/>
                <w:highlight w:val="none"/>
              </w:rPr>
              <w:t>7600</w:t>
            </w:r>
          </w:p>
        </w:tc>
        <w:tc>
          <w:tcPr>
            <w:tcW w:w="687" w:type="dxa"/>
            <w:vMerge w:val="restart"/>
            <w:noWrap/>
            <w:vAlign w:val="center"/>
          </w:tcPr>
          <w:p>
            <w:pPr>
              <w:spacing w:before="156" w:beforeLines="50" w:after="156" w:afterLines="50" w:line="500" w:lineRule="exact"/>
              <w:jc w:val="center"/>
              <w:rPr>
                <w:rFonts w:ascii="仿宋" w:hAnsi="仿宋" w:eastAsia="仿宋" w:cs="方正小标宋_GBK"/>
                <w:sz w:val="18"/>
                <w:szCs w:val="18"/>
                <w:highlight w:val="none"/>
              </w:rPr>
            </w:pPr>
            <w:r>
              <w:rPr>
                <w:rFonts w:hint="eastAsia" w:ascii="仿宋" w:hAnsi="仿宋" w:eastAsia="仿宋" w:cs="方正小标宋_GBK"/>
                <w:sz w:val="18"/>
                <w:szCs w:val="18"/>
                <w:highlight w:val="none"/>
              </w:rPr>
              <w:t>税率：</w:t>
            </w:r>
            <w:r>
              <w:rPr>
                <w:rFonts w:ascii="仿宋" w:hAnsi="仿宋" w:eastAsia="仿宋" w:cs="方正小标宋_GBK"/>
                <w:sz w:val="18"/>
                <w:szCs w:val="18"/>
                <w:highlight w:val="none"/>
              </w:rPr>
              <w:t>1</w:t>
            </w:r>
            <w:r>
              <w:rPr>
                <w:rFonts w:hint="eastAsia" w:ascii="仿宋" w:hAnsi="仿宋" w:eastAsia="仿宋" w:cs="方正小标宋_GBK"/>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w:t>
            </w:r>
          </w:p>
        </w:tc>
        <w:tc>
          <w:tcPr>
            <w:tcW w:w="8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宋体"/>
                <w:kern w:val="0"/>
                <w:sz w:val="20"/>
                <w:szCs w:val="20"/>
                <w:highlight w:val="none"/>
              </w:rPr>
            </w:pPr>
            <w:r>
              <w:rPr>
                <w:rFonts w:hint="eastAsia" w:eastAsia="宋体"/>
                <w:kern w:val="0"/>
                <w:sz w:val="20"/>
                <w:szCs w:val="20"/>
                <w:highlight w:val="none"/>
              </w:rPr>
              <w:t>气囊</w:t>
            </w:r>
          </w:p>
        </w:tc>
        <w:tc>
          <w:tcPr>
            <w:tcW w:w="2386" w:type="dxa"/>
            <w:tcBorders>
              <w:top w:val="nil"/>
              <w:left w:val="nil"/>
              <w:bottom w:val="single" w:color="auto" w:sz="4" w:space="0"/>
              <w:right w:val="single" w:color="auto" w:sz="4" w:space="0"/>
            </w:tcBorders>
            <w:shd w:val="clear" w:color="auto" w:fill="auto"/>
            <w:vAlign w:val="center"/>
          </w:tcPr>
          <w:p>
            <w:pPr>
              <w:rPr>
                <w:sz w:val="20"/>
                <w:szCs w:val="20"/>
                <w:highlight w:val="none"/>
              </w:rPr>
            </w:pPr>
            <w:r>
              <w:rPr>
                <w:rFonts w:hint="eastAsia"/>
                <w:sz w:val="20"/>
                <w:szCs w:val="20"/>
                <w:highlight w:val="none"/>
              </w:rPr>
              <w:t>高压封堵气囊、DN</w:t>
            </w:r>
            <w:r>
              <w:rPr>
                <w:sz w:val="20"/>
                <w:szCs w:val="20"/>
                <w:highlight w:val="none"/>
              </w:rPr>
              <w:t>1350</w:t>
            </w:r>
          </w:p>
        </w:tc>
        <w:tc>
          <w:tcPr>
            <w:tcW w:w="589" w:type="dxa"/>
            <w:tcBorders>
              <w:top w:val="nil"/>
              <w:left w:val="nil"/>
              <w:bottom w:val="single" w:color="auto" w:sz="4" w:space="0"/>
              <w:right w:val="single" w:color="auto" w:sz="4" w:space="0"/>
            </w:tcBorders>
            <w:shd w:val="clear" w:color="auto" w:fill="auto"/>
            <w:noWrap/>
            <w:vAlign w:val="center"/>
          </w:tcPr>
          <w:p>
            <w:pPr>
              <w:jc w:val="center"/>
              <w:rPr>
                <w:bCs/>
                <w:sz w:val="20"/>
                <w:szCs w:val="20"/>
                <w:highlight w:val="none"/>
              </w:rPr>
            </w:pPr>
            <w:r>
              <w:rPr>
                <w:rFonts w:hint="eastAsia"/>
                <w:bCs/>
                <w:sz w:val="20"/>
                <w:szCs w:val="20"/>
                <w:highlight w:val="none"/>
              </w:rPr>
              <w:t>套</w:t>
            </w:r>
          </w:p>
        </w:tc>
        <w:tc>
          <w:tcPr>
            <w:tcW w:w="1008" w:type="dxa"/>
            <w:tcBorders>
              <w:top w:val="nil"/>
              <w:left w:val="nil"/>
              <w:bottom w:val="single" w:color="auto" w:sz="4" w:space="0"/>
              <w:right w:val="single" w:color="auto" w:sz="4" w:space="0"/>
            </w:tcBorders>
            <w:shd w:val="clear" w:color="auto" w:fill="auto"/>
            <w:noWrap/>
            <w:vAlign w:val="center"/>
          </w:tcPr>
          <w:p>
            <w:pPr>
              <w:jc w:val="center"/>
              <w:rPr>
                <w:sz w:val="20"/>
                <w:szCs w:val="20"/>
                <w:highlight w:val="none"/>
              </w:rPr>
            </w:pPr>
            <w:r>
              <w:rPr>
                <w:sz w:val="20"/>
                <w:szCs w:val="20"/>
                <w:highlight w:val="none"/>
              </w:rPr>
              <w:t>2</w:t>
            </w:r>
          </w:p>
        </w:tc>
        <w:tc>
          <w:tcPr>
            <w:tcW w:w="1121" w:type="dxa"/>
            <w:tcBorders>
              <w:top w:val="nil"/>
              <w:left w:val="single" w:color="auto" w:sz="4" w:space="0"/>
              <w:bottom w:val="single" w:color="auto" w:sz="4" w:space="0"/>
              <w:right w:val="single" w:color="auto" w:sz="4" w:space="0"/>
            </w:tcBorders>
            <w:shd w:val="clear" w:color="auto" w:fill="auto"/>
            <w:noWrap/>
            <w:vAlign w:val="center"/>
          </w:tcPr>
          <w:p>
            <w:pPr>
              <w:jc w:val="center"/>
              <w:rPr>
                <w:sz w:val="20"/>
                <w:szCs w:val="20"/>
                <w:highlight w:val="none"/>
              </w:rPr>
            </w:pPr>
            <w:r>
              <w:rPr>
                <w:rFonts w:hint="eastAsia"/>
                <w:sz w:val="20"/>
                <w:szCs w:val="20"/>
                <w:highlight w:val="none"/>
              </w:rPr>
              <w:t>8</w:t>
            </w:r>
            <w:r>
              <w:rPr>
                <w:sz w:val="20"/>
                <w:szCs w:val="20"/>
                <w:highlight w:val="none"/>
              </w:rPr>
              <w:t>370</w:t>
            </w:r>
          </w:p>
        </w:tc>
        <w:tc>
          <w:tcPr>
            <w:tcW w:w="1234" w:type="dxa"/>
            <w:tcBorders>
              <w:top w:val="nil"/>
              <w:left w:val="single" w:color="auto" w:sz="4" w:space="0"/>
              <w:bottom w:val="single" w:color="auto" w:sz="4" w:space="0"/>
              <w:right w:val="single" w:color="auto" w:sz="4" w:space="0"/>
            </w:tcBorders>
            <w:shd w:val="clear" w:color="auto" w:fill="auto"/>
            <w:noWrap/>
            <w:vAlign w:val="center"/>
          </w:tcPr>
          <w:p>
            <w:pPr>
              <w:jc w:val="center"/>
              <w:rPr>
                <w:sz w:val="20"/>
                <w:szCs w:val="20"/>
                <w:highlight w:val="none"/>
              </w:rPr>
            </w:pPr>
            <w:r>
              <w:rPr>
                <w:rFonts w:hint="eastAsia"/>
                <w:sz w:val="20"/>
                <w:szCs w:val="20"/>
                <w:highlight w:val="none"/>
              </w:rPr>
              <w:t>1</w:t>
            </w:r>
            <w:r>
              <w:rPr>
                <w:sz w:val="20"/>
                <w:szCs w:val="20"/>
                <w:highlight w:val="none"/>
              </w:rPr>
              <w:t>6740</w:t>
            </w:r>
          </w:p>
        </w:tc>
        <w:tc>
          <w:tcPr>
            <w:tcW w:w="687" w:type="dxa"/>
            <w:vMerge w:val="continue"/>
            <w:noWrap/>
            <w:vAlign w:val="center"/>
          </w:tcPr>
          <w:p>
            <w:pPr>
              <w:spacing w:before="156" w:beforeLines="50" w:after="156" w:afterLines="50" w:line="500" w:lineRule="exact"/>
              <w:jc w:val="center"/>
              <w:rPr>
                <w:rFonts w:ascii="仿宋" w:hAnsi="仿宋" w:eastAsia="仿宋" w:cs="方正小标宋_GBK"/>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p>
        </w:tc>
        <w:tc>
          <w:tcPr>
            <w:tcW w:w="818" w:type="dxa"/>
            <w:tcBorders>
              <w:top w:val="nil"/>
              <w:left w:val="single" w:color="auto" w:sz="4" w:space="0"/>
              <w:bottom w:val="single" w:color="auto" w:sz="4" w:space="0"/>
              <w:right w:val="single" w:color="auto" w:sz="4" w:space="0"/>
            </w:tcBorders>
            <w:shd w:val="clear" w:color="auto" w:fill="auto"/>
            <w:noWrap/>
            <w:vAlign w:val="center"/>
          </w:tcPr>
          <w:p>
            <w:pPr>
              <w:jc w:val="left"/>
              <w:rPr>
                <w:sz w:val="20"/>
                <w:szCs w:val="20"/>
                <w:highlight w:val="none"/>
              </w:rPr>
            </w:pPr>
            <w:r>
              <w:rPr>
                <w:rFonts w:hint="eastAsia"/>
                <w:sz w:val="20"/>
                <w:szCs w:val="20"/>
                <w:highlight w:val="none"/>
              </w:rPr>
              <w:t>高压管</w:t>
            </w:r>
          </w:p>
        </w:tc>
        <w:tc>
          <w:tcPr>
            <w:tcW w:w="2386" w:type="dxa"/>
            <w:tcBorders>
              <w:top w:val="nil"/>
              <w:left w:val="nil"/>
              <w:bottom w:val="single" w:color="auto" w:sz="4" w:space="0"/>
              <w:right w:val="single" w:color="auto" w:sz="4" w:space="0"/>
            </w:tcBorders>
            <w:shd w:val="clear" w:color="auto" w:fill="auto"/>
            <w:vAlign w:val="center"/>
          </w:tcPr>
          <w:p>
            <w:pPr>
              <w:rPr>
                <w:sz w:val="20"/>
                <w:szCs w:val="20"/>
                <w:highlight w:val="none"/>
              </w:rPr>
            </w:pPr>
            <w:r>
              <w:rPr>
                <w:sz w:val="20"/>
                <w:szCs w:val="20"/>
                <w:highlight w:val="none"/>
              </w:rPr>
              <w:t>10*10</w:t>
            </w:r>
          </w:p>
        </w:tc>
        <w:tc>
          <w:tcPr>
            <w:tcW w:w="589" w:type="dxa"/>
            <w:tcBorders>
              <w:top w:val="nil"/>
              <w:left w:val="nil"/>
              <w:bottom w:val="single" w:color="auto" w:sz="4" w:space="0"/>
              <w:right w:val="single" w:color="auto" w:sz="4" w:space="0"/>
            </w:tcBorders>
            <w:shd w:val="clear" w:color="auto" w:fill="auto"/>
            <w:noWrap/>
            <w:vAlign w:val="center"/>
          </w:tcPr>
          <w:p>
            <w:pPr>
              <w:jc w:val="center"/>
              <w:rPr>
                <w:bCs/>
                <w:sz w:val="20"/>
                <w:szCs w:val="20"/>
                <w:highlight w:val="none"/>
              </w:rPr>
            </w:pPr>
            <w:r>
              <w:rPr>
                <w:rFonts w:hint="eastAsia"/>
                <w:bCs/>
                <w:sz w:val="20"/>
                <w:szCs w:val="20"/>
                <w:highlight w:val="none"/>
              </w:rPr>
              <w:t>套</w:t>
            </w:r>
          </w:p>
        </w:tc>
        <w:tc>
          <w:tcPr>
            <w:tcW w:w="1008" w:type="dxa"/>
            <w:tcBorders>
              <w:top w:val="nil"/>
              <w:left w:val="nil"/>
              <w:bottom w:val="single" w:color="auto" w:sz="4" w:space="0"/>
              <w:right w:val="single" w:color="auto" w:sz="4" w:space="0"/>
            </w:tcBorders>
            <w:shd w:val="clear" w:color="auto" w:fill="auto"/>
            <w:noWrap/>
            <w:vAlign w:val="center"/>
          </w:tcPr>
          <w:p>
            <w:pPr>
              <w:jc w:val="center"/>
              <w:rPr>
                <w:sz w:val="20"/>
                <w:szCs w:val="20"/>
                <w:highlight w:val="none"/>
              </w:rPr>
            </w:pPr>
            <w:r>
              <w:rPr>
                <w:sz w:val="20"/>
                <w:szCs w:val="20"/>
                <w:highlight w:val="none"/>
              </w:rPr>
              <w:t>5</w:t>
            </w:r>
          </w:p>
        </w:tc>
        <w:tc>
          <w:tcPr>
            <w:tcW w:w="1121" w:type="dxa"/>
            <w:tcBorders>
              <w:top w:val="nil"/>
              <w:left w:val="single" w:color="auto" w:sz="4" w:space="0"/>
              <w:bottom w:val="single" w:color="auto" w:sz="4" w:space="0"/>
              <w:right w:val="single" w:color="auto" w:sz="4" w:space="0"/>
            </w:tcBorders>
            <w:shd w:val="clear" w:color="auto" w:fill="auto"/>
            <w:noWrap/>
            <w:vAlign w:val="center"/>
          </w:tcPr>
          <w:p>
            <w:pPr>
              <w:jc w:val="center"/>
              <w:rPr>
                <w:sz w:val="20"/>
                <w:szCs w:val="20"/>
                <w:highlight w:val="none"/>
              </w:rPr>
            </w:pPr>
            <w:r>
              <w:rPr>
                <w:rFonts w:hint="eastAsia"/>
                <w:sz w:val="20"/>
                <w:szCs w:val="20"/>
                <w:highlight w:val="none"/>
              </w:rPr>
              <w:t>1</w:t>
            </w:r>
            <w:r>
              <w:rPr>
                <w:sz w:val="20"/>
                <w:szCs w:val="20"/>
                <w:highlight w:val="none"/>
              </w:rPr>
              <w:t>66.66</w:t>
            </w:r>
          </w:p>
        </w:tc>
        <w:tc>
          <w:tcPr>
            <w:tcW w:w="1234" w:type="dxa"/>
            <w:tcBorders>
              <w:top w:val="nil"/>
              <w:left w:val="single" w:color="auto" w:sz="4" w:space="0"/>
              <w:bottom w:val="single" w:color="auto" w:sz="4" w:space="0"/>
              <w:right w:val="single" w:color="auto" w:sz="4" w:space="0"/>
            </w:tcBorders>
            <w:shd w:val="clear" w:color="auto" w:fill="auto"/>
            <w:noWrap/>
            <w:vAlign w:val="center"/>
          </w:tcPr>
          <w:p>
            <w:pPr>
              <w:jc w:val="center"/>
              <w:rPr>
                <w:sz w:val="20"/>
                <w:szCs w:val="20"/>
                <w:highlight w:val="none"/>
              </w:rPr>
            </w:pPr>
            <w:r>
              <w:rPr>
                <w:rFonts w:hint="eastAsia"/>
                <w:sz w:val="20"/>
                <w:szCs w:val="20"/>
                <w:highlight w:val="none"/>
              </w:rPr>
              <w:t>8</w:t>
            </w:r>
            <w:r>
              <w:rPr>
                <w:sz w:val="20"/>
                <w:szCs w:val="20"/>
                <w:highlight w:val="none"/>
              </w:rPr>
              <w:t>33.3</w:t>
            </w:r>
          </w:p>
        </w:tc>
        <w:tc>
          <w:tcPr>
            <w:tcW w:w="687" w:type="dxa"/>
            <w:vMerge w:val="continue"/>
            <w:noWrap/>
            <w:vAlign w:val="center"/>
          </w:tcPr>
          <w:p>
            <w:pPr>
              <w:spacing w:before="156" w:beforeLines="50" w:after="156" w:afterLines="50" w:line="500" w:lineRule="exact"/>
              <w:jc w:val="center"/>
              <w:rPr>
                <w:rFonts w:ascii="仿宋" w:hAnsi="仿宋" w:eastAsia="仿宋" w:cs="方正小标宋_GBK"/>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3" w:type="dxa"/>
            <w:noWrap/>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w:t>
            </w:r>
          </w:p>
        </w:tc>
        <w:tc>
          <w:tcPr>
            <w:tcW w:w="818" w:type="dxa"/>
            <w:tcBorders>
              <w:top w:val="nil"/>
              <w:left w:val="single" w:color="auto" w:sz="4" w:space="0"/>
              <w:bottom w:val="single" w:color="auto" w:sz="4" w:space="0"/>
              <w:right w:val="single" w:color="auto" w:sz="4" w:space="0"/>
            </w:tcBorders>
            <w:shd w:val="clear" w:color="auto" w:fill="auto"/>
            <w:noWrap/>
            <w:vAlign w:val="center"/>
          </w:tcPr>
          <w:p>
            <w:pPr>
              <w:jc w:val="left"/>
              <w:rPr>
                <w:sz w:val="20"/>
                <w:szCs w:val="20"/>
                <w:highlight w:val="none"/>
              </w:rPr>
            </w:pPr>
            <w:r>
              <w:rPr>
                <w:rFonts w:hint="eastAsia"/>
                <w:sz w:val="20"/>
                <w:szCs w:val="20"/>
                <w:highlight w:val="none"/>
              </w:rPr>
              <w:t>高压管</w:t>
            </w:r>
          </w:p>
        </w:tc>
        <w:tc>
          <w:tcPr>
            <w:tcW w:w="2386" w:type="dxa"/>
            <w:tcBorders>
              <w:top w:val="nil"/>
              <w:left w:val="nil"/>
              <w:bottom w:val="single" w:color="auto" w:sz="4" w:space="0"/>
              <w:right w:val="single" w:color="auto" w:sz="4" w:space="0"/>
            </w:tcBorders>
            <w:shd w:val="clear" w:color="auto" w:fill="auto"/>
            <w:vAlign w:val="center"/>
          </w:tcPr>
          <w:p>
            <w:pPr>
              <w:rPr>
                <w:sz w:val="20"/>
                <w:szCs w:val="20"/>
                <w:highlight w:val="none"/>
              </w:rPr>
            </w:pPr>
            <w:r>
              <w:rPr>
                <w:sz w:val="20"/>
                <w:szCs w:val="20"/>
                <w:highlight w:val="none"/>
              </w:rPr>
              <w:t>10*13</w:t>
            </w:r>
          </w:p>
        </w:tc>
        <w:tc>
          <w:tcPr>
            <w:tcW w:w="589" w:type="dxa"/>
            <w:tcBorders>
              <w:top w:val="nil"/>
              <w:left w:val="nil"/>
              <w:bottom w:val="single" w:color="auto" w:sz="4" w:space="0"/>
              <w:right w:val="single" w:color="auto" w:sz="4" w:space="0"/>
            </w:tcBorders>
            <w:shd w:val="clear" w:color="auto" w:fill="auto"/>
            <w:noWrap/>
            <w:vAlign w:val="center"/>
          </w:tcPr>
          <w:p>
            <w:pPr>
              <w:jc w:val="center"/>
              <w:rPr>
                <w:bCs/>
                <w:sz w:val="20"/>
                <w:szCs w:val="20"/>
                <w:highlight w:val="none"/>
              </w:rPr>
            </w:pPr>
            <w:r>
              <w:rPr>
                <w:rFonts w:hint="eastAsia"/>
                <w:bCs/>
                <w:sz w:val="20"/>
                <w:szCs w:val="20"/>
                <w:highlight w:val="none"/>
              </w:rPr>
              <w:t>台</w:t>
            </w:r>
          </w:p>
        </w:tc>
        <w:tc>
          <w:tcPr>
            <w:tcW w:w="1008" w:type="dxa"/>
            <w:tcBorders>
              <w:top w:val="nil"/>
              <w:left w:val="nil"/>
              <w:bottom w:val="single" w:color="auto" w:sz="4" w:space="0"/>
              <w:right w:val="single" w:color="auto" w:sz="4" w:space="0"/>
            </w:tcBorders>
            <w:shd w:val="clear" w:color="auto" w:fill="auto"/>
            <w:noWrap/>
            <w:vAlign w:val="center"/>
          </w:tcPr>
          <w:p>
            <w:pPr>
              <w:jc w:val="center"/>
              <w:rPr>
                <w:sz w:val="20"/>
                <w:szCs w:val="20"/>
                <w:highlight w:val="none"/>
              </w:rPr>
            </w:pPr>
            <w:r>
              <w:rPr>
                <w:sz w:val="20"/>
                <w:szCs w:val="20"/>
                <w:highlight w:val="none"/>
              </w:rPr>
              <w:t>5</w:t>
            </w:r>
          </w:p>
        </w:tc>
        <w:tc>
          <w:tcPr>
            <w:tcW w:w="1121"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eastAsia="仿宋_GB2312"/>
                <w:sz w:val="20"/>
                <w:szCs w:val="20"/>
                <w:highlight w:val="none"/>
                <w:lang w:val="en-US" w:eastAsia="zh-CN"/>
              </w:rPr>
            </w:pPr>
            <w:r>
              <w:rPr>
                <w:rFonts w:hint="eastAsia"/>
                <w:sz w:val="20"/>
                <w:szCs w:val="20"/>
                <w:highlight w:val="none"/>
                <w:lang w:val="en-US" w:eastAsia="zh-CN"/>
              </w:rPr>
              <w:t>205</w:t>
            </w:r>
          </w:p>
        </w:tc>
        <w:tc>
          <w:tcPr>
            <w:tcW w:w="123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eastAsia="仿宋_GB2312"/>
                <w:sz w:val="20"/>
                <w:szCs w:val="20"/>
                <w:highlight w:val="none"/>
                <w:lang w:val="en-US" w:eastAsia="zh-CN"/>
              </w:rPr>
            </w:pPr>
            <w:r>
              <w:rPr>
                <w:rFonts w:hint="eastAsia"/>
                <w:sz w:val="20"/>
                <w:szCs w:val="20"/>
                <w:highlight w:val="none"/>
                <w:lang w:val="en-US" w:eastAsia="zh-CN"/>
              </w:rPr>
              <w:t>1025</w:t>
            </w:r>
          </w:p>
        </w:tc>
        <w:tc>
          <w:tcPr>
            <w:tcW w:w="687" w:type="dxa"/>
            <w:vMerge w:val="continue"/>
            <w:noWrap/>
            <w:vAlign w:val="center"/>
          </w:tcPr>
          <w:p>
            <w:pPr>
              <w:spacing w:before="156" w:beforeLines="50" w:after="156" w:afterLines="50" w:line="500" w:lineRule="exact"/>
              <w:jc w:val="center"/>
              <w:rPr>
                <w:rFonts w:ascii="仿宋" w:hAnsi="仿宋" w:eastAsia="仿宋" w:cs="方正小标宋_GBK"/>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46" w:type="dxa"/>
            <w:gridSpan w:val="4"/>
            <w:noWrap/>
            <w:vAlign w:val="center"/>
          </w:tcPr>
          <w:p>
            <w:pPr>
              <w:spacing w:before="156" w:beforeLines="50" w:after="156" w:afterLines="50" w:line="500" w:lineRule="exact"/>
              <w:jc w:val="center"/>
              <w:rPr>
                <w:rFonts w:ascii="仿宋" w:hAnsi="仿宋" w:eastAsia="仿宋" w:cs="方正小标宋_GBK"/>
                <w:bCs/>
                <w:sz w:val="18"/>
                <w:szCs w:val="18"/>
                <w:highlight w:val="none"/>
              </w:rPr>
            </w:pPr>
            <w:r>
              <w:rPr>
                <w:rFonts w:hint="eastAsia" w:ascii="仿宋" w:hAnsi="仿宋" w:eastAsia="仿宋" w:cs="方正小标宋_GBK"/>
                <w:bCs/>
                <w:sz w:val="18"/>
                <w:szCs w:val="18"/>
                <w:highlight w:val="none"/>
              </w:rPr>
              <w:t>合计</w:t>
            </w:r>
          </w:p>
        </w:tc>
        <w:tc>
          <w:tcPr>
            <w:tcW w:w="1008" w:type="dxa"/>
            <w:noWrap/>
            <w:vAlign w:val="center"/>
          </w:tcPr>
          <w:p>
            <w:pPr>
              <w:spacing w:before="156" w:beforeLines="50" w:after="156" w:afterLines="50" w:line="500" w:lineRule="exact"/>
              <w:jc w:val="center"/>
              <w:rPr>
                <w:rFonts w:ascii="仿宋" w:hAnsi="仿宋" w:eastAsia="仿宋" w:cs="方正小标宋_GBK"/>
                <w:bCs/>
                <w:sz w:val="18"/>
                <w:szCs w:val="18"/>
                <w:highlight w:val="none"/>
              </w:rPr>
            </w:pPr>
          </w:p>
        </w:tc>
        <w:tc>
          <w:tcPr>
            <w:tcW w:w="1121" w:type="dxa"/>
            <w:noWrap/>
            <w:vAlign w:val="center"/>
          </w:tcPr>
          <w:p>
            <w:pPr>
              <w:spacing w:before="156" w:beforeLines="50" w:after="156" w:afterLines="50" w:line="500" w:lineRule="exact"/>
              <w:jc w:val="center"/>
              <w:rPr>
                <w:rFonts w:ascii="仿宋" w:hAnsi="仿宋" w:eastAsia="仿宋" w:cs="方正小标宋_GBK"/>
                <w:bCs/>
                <w:sz w:val="18"/>
                <w:szCs w:val="18"/>
                <w:highlight w:val="none"/>
              </w:rPr>
            </w:pPr>
          </w:p>
        </w:tc>
        <w:tc>
          <w:tcPr>
            <w:tcW w:w="1234" w:type="dxa"/>
            <w:noWrap/>
            <w:vAlign w:val="center"/>
          </w:tcPr>
          <w:p>
            <w:pPr>
              <w:spacing w:before="156" w:beforeLines="50" w:after="156" w:afterLines="50" w:line="500" w:lineRule="exact"/>
              <w:jc w:val="center"/>
              <w:rPr>
                <w:rFonts w:ascii="仿宋" w:hAnsi="仿宋" w:eastAsia="仿宋" w:cs="方正小标宋_GBK"/>
                <w:bCs/>
                <w:sz w:val="18"/>
                <w:szCs w:val="18"/>
                <w:highlight w:val="none"/>
              </w:rPr>
            </w:pPr>
            <w:r>
              <w:rPr>
                <w:rFonts w:hint="eastAsia" w:ascii="仿宋" w:hAnsi="仿宋" w:eastAsia="仿宋" w:cs="方正小标宋_GBK"/>
                <w:bCs/>
                <w:sz w:val="18"/>
                <w:szCs w:val="18"/>
                <w:highlight w:val="none"/>
                <w:lang w:val="en-US" w:eastAsia="zh-CN"/>
              </w:rPr>
              <w:t>86198.3</w:t>
            </w:r>
          </w:p>
        </w:tc>
        <w:tc>
          <w:tcPr>
            <w:tcW w:w="687" w:type="dxa"/>
            <w:vMerge w:val="continue"/>
            <w:noWrap/>
            <w:vAlign w:val="center"/>
          </w:tcPr>
          <w:p>
            <w:pPr>
              <w:spacing w:before="156" w:beforeLines="50" w:after="156" w:afterLines="50" w:line="500" w:lineRule="exact"/>
              <w:jc w:val="center"/>
              <w:rPr>
                <w:rFonts w:ascii="仿宋" w:hAnsi="仿宋" w:eastAsia="仿宋" w:cs="方正小标宋_GBK"/>
                <w:b/>
                <w:bCs/>
                <w:sz w:val="18"/>
                <w:szCs w:val="18"/>
                <w:highlight w:val="none"/>
              </w:rPr>
            </w:pPr>
          </w:p>
        </w:tc>
      </w:tr>
    </w:tbl>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rPr>
          <w:rFonts w:hint="eastAsia" w:ascii="黑体" w:hAnsi="黑体" w:eastAsia="黑体" w:cs="黑体"/>
          <w:szCs w:val="30"/>
          <w:highlight w:val="none"/>
        </w:rPr>
      </w:pPr>
      <w:r>
        <w:rPr>
          <w:rFonts w:hint="eastAsia" w:ascii="黑体" w:hAnsi="黑体" w:eastAsia="黑体" w:cs="黑体"/>
          <w:szCs w:val="30"/>
          <w:highlight w:val="none"/>
        </w:rPr>
        <w:br w:type="page"/>
      </w: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- 12 -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- 12 -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- 22 -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- 22 -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46772"/>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17FD0"/>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184"/>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6751C"/>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65BC"/>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0AB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1278"/>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471E2"/>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1F58"/>
    <w:rsid w:val="00B42907"/>
    <w:rsid w:val="00B44D37"/>
    <w:rsid w:val="00B47DE4"/>
    <w:rsid w:val="00B502E5"/>
    <w:rsid w:val="00B50D4E"/>
    <w:rsid w:val="00B52205"/>
    <w:rsid w:val="00B54586"/>
    <w:rsid w:val="00B5475E"/>
    <w:rsid w:val="00B5574C"/>
    <w:rsid w:val="00B567BC"/>
    <w:rsid w:val="00B56812"/>
    <w:rsid w:val="00B6067D"/>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389B"/>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4272"/>
    <w:rsid w:val="00C65684"/>
    <w:rsid w:val="00C7193E"/>
    <w:rsid w:val="00C72FB1"/>
    <w:rsid w:val="00C804E7"/>
    <w:rsid w:val="00C82324"/>
    <w:rsid w:val="00C83A17"/>
    <w:rsid w:val="00C83BBF"/>
    <w:rsid w:val="00C85E26"/>
    <w:rsid w:val="00C86399"/>
    <w:rsid w:val="00C8710F"/>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1B8"/>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6DDA"/>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0D5F"/>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CBB"/>
    <w:rsid w:val="00F95F75"/>
    <w:rsid w:val="00F966A4"/>
    <w:rsid w:val="00F96DF2"/>
    <w:rsid w:val="00F97758"/>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6C1BB0"/>
    <w:rsid w:val="10B36C33"/>
    <w:rsid w:val="114607D2"/>
    <w:rsid w:val="123F5824"/>
    <w:rsid w:val="12420E4E"/>
    <w:rsid w:val="13256B7A"/>
    <w:rsid w:val="14613F13"/>
    <w:rsid w:val="1550556C"/>
    <w:rsid w:val="16173BF0"/>
    <w:rsid w:val="16314110"/>
    <w:rsid w:val="174A03C5"/>
    <w:rsid w:val="18061116"/>
    <w:rsid w:val="18513BAE"/>
    <w:rsid w:val="1885795F"/>
    <w:rsid w:val="199316F5"/>
    <w:rsid w:val="1BF978BC"/>
    <w:rsid w:val="1CC22144"/>
    <w:rsid w:val="1DAE3F9A"/>
    <w:rsid w:val="207D68CF"/>
    <w:rsid w:val="20D31D8D"/>
    <w:rsid w:val="21244412"/>
    <w:rsid w:val="21351FFB"/>
    <w:rsid w:val="22287868"/>
    <w:rsid w:val="22E93633"/>
    <w:rsid w:val="23863352"/>
    <w:rsid w:val="2AB64C21"/>
    <w:rsid w:val="2BA411B4"/>
    <w:rsid w:val="2D8B4AA3"/>
    <w:rsid w:val="2DC12766"/>
    <w:rsid w:val="2EE25C76"/>
    <w:rsid w:val="2F480FA5"/>
    <w:rsid w:val="3148394C"/>
    <w:rsid w:val="321B5F48"/>
    <w:rsid w:val="33784C9D"/>
    <w:rsid w:val="35180B61"/>
    <w:rsid w:val="35637500"/>
    <w:rsid w:val="35780716"/>
    <w:rsid w:val="35B73962"/>
    <w:rsid w:val="36301896"/>
    <w:rsid w:val="36D64840"/>
    <w:rsid w:val="376712E7"/>
    <w:rsid w:val="37817FE6"/>
    <w:rsid w:val="3B320A47"/>
    <w:rsid w:val="3DBB3367"/>
    <w:rsid w:val="3E125CDC"/>
    <w:rsid w:val="3E5D1032"/>
    <w:rsid w:val="3F9C736F"/>
    <w:rsid w:val="40390CDD"/>
    <w:rsid w:val="405E351D"/>
    <w:rsid w:val="40B04460"/>
    <w:rsid w:val="437E6BAD"/>
    <w:rsid w:val="43B45680"/>
    <w:rsid w:val="43E503D2"/>
    <w:rsid w:val="44FC0D59"/>
    <w:rsid w:val="45F46709"/>
    <w:rsid w:val="47456395"/>
    <w:rsid w:val="48265F7A"/>
    <w:rsid w:val="489F220E"/>
    <w:rsid w:val="4A446A4D"/>
    <w:rsid w:val="4A7E66D3"/>
    <w:rsid w:val="4B102B0C"/>
    <w:rsid w:val="4DBD7ADD"/>
    <w:rsid w:val="4F092A77"/>
    <w:rsid w:val="4F3363B9"/>
    <w:rsid w:val="50105C35"/>
    <w:rsid w:val="522D7E73"/>
    <w:rsid w:val="52EB1AE5"/>
    <w:rsid w:val="53CF133C"/>
    <w:rsid w:val="54592CBD"/>
    <w:rsid w:val="55713605"/>
    <w:rsid w:val="55C51BA3"/>
    <w:rsid w:val="57260D5A"/>
    <w:rsid w:val="584A6F9F"/>
    <w:rsid w:val="58FE78A6"/>
    <w:rsid w:val="59851C6F"/>
    <w:rsid w:val="5C7400AD"/>
    <w:rsid w:val="5CCA7752"/>
    <w:rsid w:val="621668B9"/>
    <w:rsid w:val="636418C2"/>
    <w:rsid w:val="63F65FAC"/>
    <w:rsid w:val="64692357"/>
    <w:rsid w:val="6646724B"/>
    <w:rsid w:val="672B73E7"/>
    <w:rsid w:val="67340937"/>
    <w:rsid w:val="69A766FF"/>
    <w:rsid w:val="6A7176EF"/>
    <w:rsid w:val="6C8856AD"/>
    <w:rsid w:val="70DF7B65"/>
    <w:rsid w:val="72657CBB"/>
    <w:rsid w:val="74B82BA7"/>
    <w:rsid w:val="75036D8E"/>
    <w:rsid w:val="759576A7"/>
    <w:rsid w:val="75E35A02"/>
    <w:rsid w:val="771A5453"/>
    <w:rsid w:val="77225C2E"/>
    <w:rsid w:val="79FF2F9E"/>
    <w:rsid w:val="7A01594F"/>
    <w:rsid w:val="7A6A2BDF"/>
    <w:rsid w:val="7B2120E1"/>
    <w:rsid w:val="7B644664"/>
    <w:rsid w:val="7B694BFB"/>
    <w:rsid w:val="7DA71A0B"/>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6"/>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character" w:customStyle="1" w:styleId="26">
    <w:name w:val="纯文本 字符"/>
    <w:basedOn w:val="22"/>
    <w:link w:val="9"/>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5"/>
    <w:autoRedefine/>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942</Words>
  <Characters>1084</Characters>
  <Lines>17</Lines>
  <Paragraphs>22</Paragraphs>
  <TotalTime>2</TotalTime>
  <ScaleCrop>false</ScaleCrop>
  <LinksUpToDate>false</LinksUpToDate>
  <CharactersWithSpaces>1134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2024-11-29T08:01:12Z</dcterms:modified>
  <dc:title>唐山市西山道供热管网改造工程</dc:title>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9F4E2607FF2840439BC09DCFEF74A6C3_13</vt:lpwstr>
  </property>
</Properties>
</file>