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5A08">
      <w:pPr>
        <w:pStyle w:val="2"/>
        <w:jc w:val="center"/>
        <w:rPr>
          <w:rFonts w:ascii="黑体" w:hAnsi="黑体" w:eastAsia="黑体"/>
          <w:sz w:val="32"/>
          <w:szCs w:val="32"/>
        </w:rPr>
      </w:pPr>
      <w:bookmarkStart w:id="0" w:name="_Toc134452747"/>
      <w:bookmarkStart w:id="1" w:name="_Toc10989"/>
      <w:bookmarkStart w:id="2" w:name="_Toc184045607"/>
      <w:r>
        <w:rPr>
          <w:rFonts w:hint="eastAsia" w:ascii="黑体" w:hAnsi="黑体" w:eastAsia="黑体"/>
          <w:sz w:val="32"/>
          <w:szCs w:val="32"/>
        </w:rPr>
        <w:t>采购公告</w:t>
      </w:r>
      <w:bookmarkEnd w:id="0"/>
      <w:bookmarkEnd w:id="1"/>
      <w:bookmarkEnd w:id="2"/>
    </w:p>
    <w:p w14:paraId="26CD3A4F">
      <w:pPr>
        <w:pStyle w:val="16"/>
      </w:pPr>
      <w:r>
        <w:rPr>
          <w:rFonts w:hint="eastAsia"/>
        </w:rPr>
        <w:t xml:space="preserve">    我公司现2号能源站三期、3号能源站二期等高压配电工程所需的变配电设备进行采购，欢迎符合条件的供应商参加，具体要求如下：</w:t>
      </w:r>
    </w:p>
    <w:p w14:paraId="4A0201FB">
      <w:pPr>
        <w:pStyle w:val="16"/>
      </w:pPr>
      <w:r>
        <w:rPr>
          <w:rFonts w:hint="eastAsia"/>
        </w:rPr>
        <w:t xml:space="preserve">    1.项目名称：2号能源站三期、3号能源站二期高压配电工程变配电设备采购。</w:t>
      </w:r>
    </w:p>
    <w:p w14:paraId="6FA85DA9">
      <w:pPr>
        <w:pStyle w:val="16"/>
      </w:pPr>
      <w:r>
        <w:rPr>
          <w:rFonts w:hint="eastAsia"/>
        </w:rPr>
        <w:t xml:space="preserve">    2.项目地点：采购人指定地点。</w:t>
      </w:r>
    </w:p>
    <w:p w14:paraId="06575133">
      <w:pPr>
        <w:pStyle w:val="16"/>
      </w:pPr>
      <w:r>
        <w:rPr>
          <w:rFonts w:hint="eastAsia"/>
        </w:rPr>
        <w:t xml:space="preserve">    3.采购内容：详见采购需求。</w:t>
      </w:r>
    </w:p>
    <w:p w14:paraId="40807A33">
      <w:pPr>
        <w:pStyle w:val="16"/>
      </w:pPr>
      <w:r>
        <w:rPr>
          <w:rFonts w:hint="eastAsia"/>
        </w:rPr>
        <w:t>4.采购控制价</w:t>
      </w:r>
    </w:p>
    <w:p w14:paraId="674FE1CC">
      <w:pPr>
        <w:pStyle w:val="16"/>
      </w:pPr>
      <w:r>
        <w:rPr>
          <w:rFonts w:hint="eastAsia"/>
        </w:rPr>
        <w:t xml:space="preserve">    第一包：2号能源站三期外线高压配电工程变配电设备，采购控制价（含税价，增值税税率为13%）：1762717.06元。</w:t>
      </w:r>
    </w:p>
    <w:p w14:paraId="0E949C74">
      <w:pPr>
        <w:pStyle w:val="16"/>
      </w:pPr>
      <w:r>
        <w:rPr>
          <w:rFonts w:hint="eastAsia"/>
        </w:rPr>
        <w:t xml:space="preserve">    第二包：3号能源站二期变配电工程变配电设备，采购控制价（含税价，增值税税率为13%）：1761555.09元。</w:t>
      </w:r>
    </w:p>
    <w:p w14:paraId="0CFFEE97">
      <w:pPr>
        <w:pStyle w:val="16"/>
      </w:pPr>
      <w:r>
        <w:rPr>
          <w:rFonts w:hint="eastAsia"/>
        </w:rPr>
        <w:t xml:space="preserve">    5.供应商资格要求</w:t>
      </w:r>
    </w:p>
    <w:p w14:paraId="040C01BC">
      <w:pPr>
        <w:pStyle w:val="16"/>
      </w:pPr>
      <w:r>
        <w:rPr>
          <w:rFonts w:hint="eastAsia"/>
        </w:rPr>
        <w:t xml:space="preserve">    5.1供应商必须具有独立法人资格,各供应商不得有企业关联或股权关系。</w:t>
      </w:r>
    </w:p>
    <w:p w14:paraId="79850BEC">
      <w:pPr>
        <w:pStyle w:val="16"/>
        <w:rPr>
          <w:color w:val="FF0000"/>
        </w:rPr>
      </w:pPr>
      <w:r>
        <w:rPr>
          <w:rFonts w:hint="eastAsia"/>
        </w:rPr>
        <w:t xml:space="preserve">    5.2供应商必须具备相关营业资格,</w:t>
      </w:r>
      <w:r>
        <w:rPr>
          <w:rFonts w:hint="eastAsia"/>
          <w:lang w:val="zh-CN"/>
        </w:rPr>
        <w:t>所生产的产品必须符合国家、行业标准相关要求，相关主材必须具备国家认可的型式试验报告，并在人员、设备、技术、资</w:t>
      </w:r>
      <w:r>
        <w:rPr>
          <w:rFonts w:hint="eastAsia"/>
        </w:rPr>
        <w:t>金等方面具备相应的能力。</w:t>
      </w:r>
    </w:p>
    <w:p w14:paraId="4B2E8E5D">
      <w:pPr>
        <w:pStyle w:val="16"/>
      </w:pPr>
      <w:r>
        <w:rPr>
          <w:rFonts w:hint="eastAsia"/>
        </w:rPr>
        <w:t xml:space="preserve">    5.3采购公告发布之日前三年内无行贿犯罪等重大违法记录。</w:t>
      </w:r>
    </w:p>
    <w:p w14:paraId="09B51040">
      <w:pPr>
        <w:pStyle w:val="16"/>
      </w:pPr>
      <w:bookmarkStart w:id="3" w:name="_Toc521332562"/>
      <w:r>
        <w:rPr>
          <w:rFonts w:hint="eastAsia"/>
        </w:rPr>
        <w:t>5.4通过“信用中国”网站（www.creditchina.gov.cn）、中国政府采购网（www.ccgp.gov.cn）查询，未被列入失信被执行人、重大税收违法案件当事人、政府采购严重违法失信行为记录名单。</w:t>
      </w:r>
    </w:p>
    <w:bookmarkEnd w:id="3"/>
    <w:p w14:paraId="660BCEA5">
      <w:pPr>
        <w:pStyle w:val="16"/>
      </w:pPr>
      <w:r>
        <w:rPr>
          <w:rFonts w:hint="eastAsia"/>
        </w:rPr>
        <w:t xml:space="preserve">    6.资格预审及采购文件的获取</w:t>
      </w:r>
    </w:p>
    <w:p w14:paraId="1519D78C">
      <w:pPr>
        <w:pStyle w:val="16"/>
        <w:rPr>
          <w:color w:val="0000FF"/>
        </w:rPr>
      </w:pPr>
      <w:r>
        <w:rPr>
          <w:rFonts w:hint="eastAsia"/>
        </w:rPr>
        <w:t xml:space="preserve">    6.1截止时间：</w:t>
      </w:r>
      <w:r>
        <w:t>202</w:t>
      </w:r>
      <w:r>
        <w:rPr>
          <w:rFonts w:hint="eastAsia"/>
        </w:rPr>
        <w:t>4</w:t>
      </w:r>
      <w:r>
        <w:t>年</w:t>
      </w:r>
      <w:r>
        <w:rPr>
          <w:rFonts w:hint="eastAsia"/>
        </w:rPr>
        <w:t>12</w:t>
      </w:r>
      <w:r>
        <w:t>月</w:t>
      </w:r>
      <w:r>
        <w:rPr>
          <w:rFonts w:hint="eastAsia"/>
        </w:rPr>
        <w:t>8</w:t>
      </w:r>
      <w:r>
        <w:t>日</w:t>
      </w:r>
      <w:r>
        <w:rPr>
          <w:rFonts w:hint="eastAsia"/>
        </w:rPr>
        <w:t>17</w:t>
      </w:r>
      <w:r>
        <w:t>时00分</w:t>
      </w:r>
      <w:r>
        <w:rPr>
          <w:rFonts w:hint="eastAsia"/>
        </w:rPr>
        <w:t>。</w:t>
      </w:r>
    </w:p>
    <w:p w14:paraId="509EBCB6">
      <w:pPr>
        <w:pStyle w:val="16"/>
      </w:pPr>
      <w:r>
        <w:rPr>
          <w:rFonts w:hint="eastAsia"/>
        </w:rPr>
        <w:t xml:space="preserve">    6.2预审方式：供应商将资格审查所需材料附在一个文档里，在截止时间前发送至邮箱：gaoxinshuidian@163.com。邮件标题为</w:t>
      </w:r>
      <w:r>
        <w:rPr>
          <w:rFonts w:hint="eastAsia"/>
          <w:b/>
          <w:bCs/>
        </w:rPr>
        <w:t>供应商名称+项目名称+第*包</w:t>
      </w:r>
      <w:r>
        <w:rPr>
          <w:rFonts w:hint="eastAsia"/>
        </w:rPr>
        <w:t>，正文备注</w:t>
      </w:r>
      <w:r>
        <w:rPr>
          <w:rFonts w:hint="eastAsia"/>
          <w:b/>
          <w:bCs/>
        </w:rPr>
        <w:t>联系人、联系方式、采购文件接收邮箱地址</w:t>
      </w:r>
      <w:r>
        <w:rPr>
          <w:rFonts w:hint="eastAsia"/>
        </w:rPr>
        <w:t>。</w:t>
      </w:r>
      <w:r>
        <w:rPr>
          <w:rStyle w:val="38"/>
          <w:rFonts w:hint="eastAsia" w:ascii="仿宋" w:hAnsi="仿宋" w:eastAsia="仿宋" w:cs="仿宋"/>
        </w:rPr>
        <w:t>由采购人受理后，通过邮箱向审查合格的供应商发放采购文件。</w:t>
      </w:r>
    </w:p>
    <w:p w14:paraId="00193709">
      <w:pPr>
        <w:pStyle w:val="16"/>
      </w:pPr>
      <w:r>
        <w:rPr>
          <w:rFonts w:hint="eastAsia"/>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14:paraId="092C568D">
      <w:pPr>
        <w:pStyle w:val="16"/>
      </w:pPr>
      <w:r>
        <w:rPr>
          <w:rFonts w:hint="eastAsia"/>
        </w:rPr>
        <w:t xml:space="preserve">    7.响应文件递交时间以及地点</w:t>
      </w:r>
    </w:p>
    <w:p w14:paraId="33B65C5D">
      <w:pPr>
        <w:pStyle w:val="16"/>
      </w:pPr>
      <w:r>
        <w:rPr>
          <w:rFonts w:hint="eastAsia"/>
        </w:rPr>
        <w:t xml:space="preserve">    7.1时间：</w:t>
      </w:r>
      <w:r>
        <w:t>20</w:t>
      </w:r>
      <w:r>
        <w:rPr>
          <w:rFonts w:hint="eastAsia"/>
        </w:rPr>
        <w:t>24</w:t>
      </w:r>
      <w:r>
        <w:t>年</w:t>
      </w:r>
      <w:r>
        <w:rPr>
          <w:rFonts w:hint="eastAsia"/>
        </w:rPr>
        <w:t>12</w:t>
      </w:r>
      <w:r>
        <w:t>月</w:t>
      </w:r>
      <w:r>
        <w:rPr>
          <w:rFonts w:hint="eastAsia"/>
        </w:rPr>
        <w:t>13</w:t>
      </w:r>
      <w:r>
        <w:t>日</w:t>
      </w:r>
      <w:r>
        <w:rPr>
          <w:rFonts w:hint="eastAsia"/>
        </w:rPr>
        <w:t>8</w:t>
      </w:r>
      <w:r>
        <w:t>时</w:t>
      </w:r>
      <w:r>
        <w:rPr>
          <w:rFonts w:hint="eastAsia"/>
        </w:rPr>
        <w:t>3</w:t>
      </w:r>
      <w:r>
        <w:t>0分至</w:t>
      </w:r>
      <w:r>
        <w:rPr>
          <w:rFonts w:hint="eastAsia"/>
        </w:rPr>
        <w:t>9</w:t>
      </w:r>
      <w:r>
        <w:t>时00分。</w:t>
      </w:r>
    </w:p>
    <w:p w14:paraId="16831530">
      <w:pPr>
        <w:pStyle w:val="16"/>
      </w:pPr>
      <w:r>
        <w:rPr>
          <w:rFonts w:hint="eastAsia"/>
        </w:rPr>
        <w:t xml:space="preserve">    7.2地点：青岛市高新区聚贤桥路50号高实集团8楼802会议室。</w:t>
      </w:r>
    </w:p>
    <w:p w14:paraId="6773D2A3">
      <w:pPr>
        <w:pStyle w:val="16"/>
      </w:pPr>
      <w:r>
        <w:rPr>
          <w:rFonts w:hint="eastAsia"/>
        </w:rPr>
        <w:t xml:space="preserve">    8.磋商时间以及地点</w:t>
      </w:r>
    </w:p>
    <w:p w14:paraId="7B1661CD">
      <w:pPr>
        <w:pStyle w:val="16"/>
      </w:pPr>
      <w:r>
        <w:rPr>
          <w:rFonts w:hint="eastAsia"/>
        </w:rPr>
        <w:t xml:space="preserve">    8.1时间：</w:t>
      </w:r>
      <w:r>
        <w:t>202</w:t>
      </w:r>
      <w:r>
        <w:rPr>
          <w:rFonts w:hint="eastAsia"/>
        </w:rPr>
        <w:t>4</w:t>
      </w:r>
      <w:r>
        <w:t>年</w:t>
      </w:r>
      <w:r>
        <w:rPr>
          <w:rFonts w:hint="eastAsia"/>
        </w:rPr>
        <w:t>12</w:t>
      </w:r>
      <w:r>
        <w:t>月</w:t>
      </w:r>
      <w:r>
        <w:rPr>
          <w:rFonts w:hint="eastAsia"/>
        </w:rPr>
        <w:t>13</w:t>
      </w:r>
      <w:r>
        <w:t>日</w:t>
      </w:r>
      <w:r>
        <w:rPr>
          <w:rFonts w:hint="eastAsia"/>
        </w:rPr>
        <w:t>9</w:t>
      </w:r>
      <w:r>
        <w:t>时00分。</w:t>
      </w:r>
    </w:p>
    <w:p w14:paraId="45F39C74">
      <w:pPr>
        <w:pStyle w:val="16"/>
      </w:pPr>
      <w:r>
        <w:rPr>
          <w:rFonts w:hint="eastAsia"/>
        </w:rPr>
        <w:t xml:space="preserve">    8.2地点：青岛市高新区聚贤桥路50号高实集团8楼802会议室。</w:t>
      </w:r>
    </w:p>
    <w:p w14:paraId="7E8EDB4E">
      <w:pPr>
        <w:pStyle w:val="16"/>
      </w:pPr>
      <w:r>
        <w:rPr>
          <w:rFonts w:hint="eastAsia"/>
        </w:rPr>
        <w:t xml:space="preserve">    9.联系方式</w:t>
      </w:r>
    </w:p>
    <w:p w14:paraId="782298F3">
      <w:pPr>
        <w:pStyle w:val="16"/>
      </w:pPr>
      <w:r>
        <w:rPr>
          <w:rFonts w:hint="eastAsia"/>
        </w:rPr>
        <w:t xml:space="preserve">    9.1采购人：青岛高新电力发展有限公司</w:t>
      </w:r>
    </w:p>
    <w:p w14:paraId="0FAAD0E3">
      <w:pPr>
        <w:pStyle w:val="16"/>
      </w:pPr>
      <w:r>
        <w:rPr>
          <w:rFonts w:hint="eastAsia"/>
        </w:rPr>
        <w:t xml:space="preserve">    联 系 人：纪虹延</w:t>
      </w:r>
    </w:p>
    <w:p w14:paraId="3563D880">
      <w:pPr>
        <w:pStyle w:val="16"/>
      </w:pPr>
      <w:r>
        <w:rPr>
          <w:rFonts w:hint="eastAsia"/>
        </w:rPr>
        <w:t xml:space="preserve">    电    话：0532-68687097</w:t>
      </w:r>
    </w:p>
    <w:p w14:paraId="5037FEE7">
      <w:pPr>
        <w:pStyle w:val="16"/>
      </w:pPr>
      <w:r>
        <w:rPr>
          <w:rFonts w:hint="eastAsia"/>
        </w:rPr>
        <w:t xml:space="preserve">    地    址：青岛市高新区聚贤桥路50号高实集团10楼</w:t>
      </w:r>
    </w:p>
    <w:p w14:paraId="3D80F030">
      <w:pPr>
        <w:pStyle w:val="16"/>
      </w:pPr>
    </w:p>
    <w:p w14:paraId="3C359691">
      <w:pPr>
        <w:pStyle w:val="16"/>
      </w:pPr>
      <w:r>
        <w:rPr>
          <w:rFonts w:hint="eastAsia"/>
        </w:rPr>
        <w:t xml:space="preserve">                                              2024年12月6日</w:t>
      </w:r>
      <w:bookmarkStart w:id="4" w:name="_Toc134452748"/>
    </w:p>
    <w:p w14:paraId="6E78837E">
      <w:pPr>
        <w:widowControl/>
        <w:jc w:val="left"/>
        <w:rPr>
          <w:rFonts w:ascii="黑体" w:hAnsi="黑体" w:eastAsia="黑体" w:cs="黑体"/>
          <w:bCs/>
          <w:sz w:val="32"/>
          <w:szCs w:val="32"/>
        </w:rPr>
      </w:pPr>
      <w:r>
        <w:rPr>
          <w:rFonts w:ascii="黑体" w:hAnsi="黑体" w:eastAsia="黑体" w:cs="黑体"/>
          <w:bCs/>
          <w:sz w:val="32"/>
          <w:szCs w:val="32"/>
        </w:rPr>
        <w:br w:type="page"/>
      </w:r>
    </w:p>
    <w:bookmarkEnd w:id="4"/>
    <w:p w14:paraId="5A8ED485">
      <w:pPr>
        <w:spacing w:line="520" w:lineRule="exact"/>
        <w:jc w:val="center"/>
        <w:outlineLvl w:val="0"/>
        <w:rPr>
          <w:rFonts w:ascii="黑体" w:hAnsi="黑体" w:eastAsia="黑体" w:cs="黑体"/>
          <w:bCs/>
          <w:sz w:val="32"/>
          <w:szCs w:val="32"/>
        </w:rPr>
      </w:pPr>
      <w:bookmarkStart w:id="5" w:name="_Toc184045609"/>
      <w:bookmarkStart w:id="6" w:name="_Toc8468"/>
      <w:bookmarkStart w:id="7" w:name="_Toc134452749"/>
      <w:r>
        <w:rPr>
          <w:rFonts w:hint="eastAsia" w:ascii="黑体" w:hAnsi="黑体" w:eastAsia="黑体" w:cs="黑体"/>
          <w:bCs/>
          <w:sz w:val="32"/>
          <w:szCs w:val="32"/>
        </w:rPr>
        <w:t>采购需求</w:t>
      </w:r>
      <w:bookmarkEnd w:id="5"/>
      <w:bookmarkEnd w:id="6"/>
      <w:bookmarkEnd w:id="7"/>
      <w:bookmarkStart w:id="8" w:name="_Toc134452750"/>
    </w:p>
    <w:bookmarkEnd w:id="8"/>
    <w:p w14:paraId="25643D32">
      <w:pPr>
        <w:spacing w:line="560" w:lineRule="exact"/>
        <w:outlineLvl w:val="0"/>
        <w:rPr>
          <w:rFonts w:ascii="黑体" w:hAnsi="黑体" w:eastAsia="黑体" w:cs="黑体"/>
          <w:bCs/>
          <w:sz w:val="24"/>
          <w:szCs w:val="24"/>
        </w:rPr>
      </w:pPr>
    </w:p>
    <w:p w14:paraId="7AAB93FC">
      <w:pPr>
        <w:spacing w:line="560" w:lineRule="exact"/>
        <w:outlineLvl w:val="0"/>
        <w:rPr>
          <w:rFonts w:ascii="黑体" w:hAnsi="黑体" w:eastAsia="黑体" w:cs="黑体"/>
          <w:bCs/>
          <w:sz w:val="28"/>
          <w:szCs w:val="28"/>
        </w:rPr>
      </w:pPr>
      <w:bookmarkStart w:id="9" w:name="_Toc184045610"/>
      <w:r>
        <w:rPr>
          <w:rFonts w:ascii="黑体" w:hAnsi="黑体" w:eastAsia="黑体" w:cs="黑体"/>
          <w:bCs/>
          <w:sz w:val="28"/>
          <w:szCs w:val="28"/>
        </w:rPr>
        <w:t>第一包：</w:t>
      </w:r>
      <w:r>
        <w:rPr>
          <w:rFonts w:hint="eastAsia" w:ascii="黑体" w:hAnsi="黑体" w:eastAsia="黑体" w:cs="黑体"/>
          <w:bCs/>
          <w:sz w:val="28"/>
          <w:szCs w:val="28"/>
        </w:rPr>
        <w:t>2号能源站三期外线高压配电工程</w:t>
      </w:r>
      <w:bookmarkEnd w:id="9"/>
      <w:r>
        <w:rPr>
          <w:rFonts w:hint="eastAsia" w:ascii="黑体" w:hAnsi="黑体" w:eastAsia="黑体" w:cs="黑体"/>
          <w:bCs/>
          <w:sz w:val="28"/>
          <w:szCs w:val="28"/>
        </w:rPr>
        <w:t>变配电设备</w:t>
      </w:r>
    </w:p>
    <w:p w14:paraId="560B46E6">
      <w:pPr>
        <w:pStyle w:val="4"/>
        <w:spacing w:before="0" w:after="0" w:line="560" w:lineRule="exact"/>
        <w:jc w:val="left"/>
        <w:rPr>
          <w:rFonts w:ascii="仿宋" w:hAnsi="仿宋" w:eastAsia="仿宋"/>
          <w:b w:val="0"/>
          <w:bCs w:val="0"/>
          <w:sz w:val="28"/>
          <w:szCs w:val="28"/>
        </w:rPr>
      </w:pPr>
      <w:bookmarkStart w:id="10" w:name="_Toc184045611"/>
      <w:bookmarkStart w:id="11" w:name="_Toc138080264"/>
      <w:r>
        <w:rPr>
          <w:rFonts w:hint="eastAsia" w:asciiTheme="minorEastAsia" w:hAnsiTheme="minorEastAsia" w:eastAsiaTheme="minorEastAsia"/>
          <w:sz w:val="28"/>
          <w:szCs w:val="28"/>
        </w:rPr>
        <w:t>1.采购产品名称</w:t>
      </w:r>
      <w:r>
        <w:rPr>
          <w:rStyle w:val="44"/>
          <w:rFonts w:hint="eastAsia"/>
          <w:b w:val="0"/>
        </w:rPr>
        <w:t>：</w:t>
      </w:r>
      <w:r>
        <w:rPr>
          <w:rFonts w:hint="eastAsia" w:ascii="仿宋" w:hAnsi="仿宋" w:eastAsia="仿宋"/>
          <w:b w:val="0"/>
          <w:bCs w:val="0"/>
          <w:sz w:val="28"/>
          <w:szCs w:val="28"/>
        </w:rPr>
        <w:t>2号能源站三期外线高压配电工程</w:t>
      </w:r>
      <w:bookmarkEnd w:id="10"/>
      <w:r>
        <w:rPr>
          <w:rFonts w:hint="eastAsia" w:ascii="仿宋" w:hAnsi="仿宋" w:eastAsia="仿宋"/>
          <w:b w:val="0"/>
          <w:bCs w:val="0"/>
          <w:sz w:val="28"/>
          <w:szCs w:val="28"/>
        </w:rPr>
        <w:t>变配电设备</w:t>
      </w:r>
    </w:p>
    <w:bookmarkEnd w:id="11"/>
    <w:p w14:paraId="3060FFB3">
      <w:pPr>
        <w:pStyle w:val="4"/>
        <w:spacing w:before="0" w:after="0" w:line="560" w:lineRule="exact"/>
        <w:jc w:val="left"/>
        <w:rPr>
          <w:rFonts w:asciiTheme="minorEastAsia" w:hAnsiTheme="minorEastAsia" w:eastAsiaTheme="minorEastAsia"/>
          <w:sz w:val="28"/>
          <w:szCs w:val="28"/>
        </w:rPr>
      </w:pPr>
      <w:bookmarkStart w:id="12" w:name="_Toc184045612"/>
      <w:r>
        <w:rPr>
          <w:rFonts w:hint="eastAsia" w:asciiTheme="minorEastAsia" w:hAnsiTheme="minorEastAsia" w:eastAsiaTheme="minorEastAsia"/>
          <w:sz w:val="28"/>
          <w:szCs w:val="28"/>
        </w:rPr>
        <w:t>2.技术要求</w:t>
      </w:r>
      <w:bookmarkEnd w:id="12"/>
    </w:p>
    <w:p w14:paraId="6F67150A">
      <w:pPr>
        <w:spacing w:line="560" w:lineRule="exact"/>
        <w:ind w:firstLine="560" w:firstLineChars="200"/>
        <w:rPr>
          <w:rFonts w:ascii="仿宋" w:hAnsi="仿宋" w:eastAsia="仿宋"/>
          <w:sz w:val="28"/>
          <w:szCs w:val="28"/>
        </w:rPr>
      </w:pPr>
      <w:bookmarkStart w:id="13" w:name="_Toc138080267"/>
      <w:bookmarkStart w:id="14" w:name="_Toc134452754"/>
      <w:r>
        <w:rPr>
          <w:rFonts w:hint="eastAsia" w:ascii="仿宋" w:hAnsi="仿宋" w:eastAsia="仿宋"/>
          <w:sz w:val="28"/>
          <w:szCs w:val="28"/>
        </w:rPr>
        <w:t>★2.1.供方需保证其所提供的产品必须是合同所确定的正宗原装产品，其型号、规格必须符合招标产品所列的各项参数，质量必须达到该项设备的国家标准及行业质量标准，严禁使用不合格材料，假一罚十；所附各种资料及配件（软件）等必须齐全。</w:t>
      </w:r>
    </w:p>
    <w:p w14:paraId="418879EE">
      <w:pPr>
        <w:spacing w:line="560" w:lineRule="exact"/>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由供方包设备、就位、铜排连接、隔离开关</w:t>
      </w:r>
      <w:r>
        <w:rPr>
          <w:rFonts w:hint="eastAsia" w:ascii="仿宋" w:hAnsi="仿宋" w:eastAsia="仿宋"/>
          <w:sz w:val="28"/>
          <w:szCs w:val="28"/>
        </w:rPr>
        <w:t>安装</w:t>
      </w:r>
      <w:r>
        <w:rPr>
          <w:rFonts w:ascii="仿宋" w:hAnsi="仿宋" w:eastAsia="仿宋"/>
          <w:sz w:val="28"/>
          <w:szCs w:val="28"/>
        </w:rPr>
        <w:t>、避雷器</w:t>
      </w:r>
      <w:r>
        <w:rPr>
          <w:rFonts w:hint="eastAsia" w:ascii="仿宋" w:hAnsi="仿宋" w:eastAsia="仿宋"/>
          <w:sz w:val="28"/>
          <w:szCs w:val="28"/>
        </w:rPr>
        <w:t>安装、验收送电</w:t>
      </w:r>
      <w:r>
        <w:rPr>
          <w:rFonts w:ascii="仿宋" w:hAnsi="仿宋" w:eastAsia="仿宋"/>
          <w:sz w:val="28"/>
          <w:szCs w:val="28"/>
        </w:rPr>
        <w:t>等内容，包质量及相关系统的</w:t>
      </w:r>
      <w:r>
        <w:rPr>
          <w:rFonts w:hint="eastAsia" w:ascii="仿宋" w:hAnsi="仿宋" w:eastAsia="仿宋"/>
          <w:sz w:val="28"/>
          <w:szCs w:val="28"/>
        </w:rPr>
        <w:t>二次线</w:t>
      </w:r>
      <w:r>
        <w:rPr>
          <w:rFonts w:ascii="仿宋" w:hAnsi="仿宋" w:eastAsia="仿宋"/>
          <w:sz w:val="28"/>
          <w:szCs w:val="28"/>
        </w:rPr>
        <w:t>、调试；相关电气设备、继电保护系统、远动通讯系统的就位、连接、验收、调试应按照工程设计、电力系统相关验收规范进行；所有开关柜内高压断路器及二次接线的连接、接线需统一标准，满足断路器间互换要求。</w:t>
      </w:r>
    </w:p>
    <w:p w14:paraId="5915466D">
      <w:pPr>
        <w:spacing w:line="560" w:lineRule="exact"/>
        <w:ind w:firstLine="560" w:firstLineChars="200"/>
        <w:rPr>
          <w:rFonts w:ascii="仿宋" w:hAnsi="仿宋" w:eastAsia="仿宋"/>
          <w:sz w:val="28"/>
          <w:szCs w:val="28"/>
        </w:rPr>
      </w:pPr>
      <w:r>
        <w:rPr>
          <w:rFonts w:hint="eastAsia" w:ascii="仿宋" w:hAnsi="仿宋" w:eastAsia="仿宋"/>
          <w:sz w:val="28"/>
          <w:szCs w:val="28"/>
        </w:rPr>
        <w:t>★2.3</w:t>
      </w:r>
      <w:r>
        <w:rPr>
          <w:rFonts w:ascii="仿宋" w:hAnsi="仿宋" w:eastAsia="仿宋"/>
          <w:sz w:val="28"/>
          <w:szCs w:val="28"/>
        </w:rPr>
        <w:t>干式变压器产品需为铜芯，</w:t>
      </w:r>
      <w:r>
        <w:rPr>
          <w:rFonts w:hint="eastAsia" w:ascii="仿宋" w:hAnsi="仿宋" w:eastAsia="仿宋"/>
          <w:sz w:val="28"/>
          <w:szCs w:val="28"/>
        </w:rPr>
        <w:t>严禁使用不合格材料，假一罚十</w:t>
      </w:r>
      <w:r>
        <w:rPr>
          <w:rFonts w:ascii="仿宋" w:hAnsi="仿宋" w:eastAsia="仿宋"/>
          <w:sz w:val="28"/>
          <w:szCs w:val="28"/>
        </w:rPr>
        <w:t>。验收、调试应按照国家颁发的工程设计、施工及验收规范、电力系统相关验收规范进行。桥架、封闭母线材料</w:t>
      </w:r>
      <w:r>
        <w:rPr>
          <w:rFonts w:hint="eastAsia" w:ascii="仿宋" w:hAnsi="仿宋" w:eastAsia="仿宋"/>
          <w:sz w:val="28"/>
          <w:szCs w:val="28"/>
        </w:rPr>
        <w:t>含</w:t>
      </w:r>
      <w:r>
        <w:rPr>
          <w:rFonts w:ascii="仿宋" w:hAnsi="仿宋" w:eastAsia="仿宋"/>
          <w:sz w:val="28"/>
          <w:szCs w:val="28"/>
        </w:rPr>
        <w:t>就位</w:t>
      </w:r>
      <w:r>
        <w:rPr>
          <w:rFonts w:hint="eastAsia" w:ascii="仿宋" w:hAnsi="仿宋" w:eastAsia="仿宋"/>
          <w:sz w:val="28"/>
          <w:szCs w:val="28"/>
        </w:rPr>
        <w:t>安装</w:t>
      </w:r>
      <w:r>
        <w:rPr>
          <w:rFonts w:ascii="仿宋" w:hAnsi="仿宋" w:eastAsia="仿宋"/>
          <w:sz w:val="28"/>
          <w:szCs w:val="28"/>
        </w:rPr>
        <w:t>工作，包质量及相关桥架、封闭母线系统的调试。</w:t>
      </w:r>
    </w:p>
    <w:p w14:paraId="64B6199F">
      <w:pPr>
        <w:spacing w:line="560" w:lineRule="exact"/>
        <w:ind w:firstLine="700" w:firstLineChars="250"/>
        <w:rPr>
          <w:rFonts w:ascii="仿宋" w:hAnsi="仿宋" w:eastAsia="仿宋"/>
          <w:sz w:val="28"/>
          <w:szCs w:val="28"/>
        </w:rPr>
      </w:pPr>
      <w:r>
        <w:rPr>
          <w:rFonts w:hint="eastAsia" w:ascii="仿宋" w:hAnsi="仿宋" w:eastAsia="仿宋"/>
          <w:sz w:val="28"/>
          <w:szCs w:val="28"/>
        </w:rPr>
        <w:t>★2.4.产品的验收按照国家标准、行业标准及国网验收规范进行，如相关产品所用工程项目验收中，属国网供电公司电源系统，未通过国网验收的情形，需方有权进行退货处理。</w:t>
      </w:r>
    </w:p>
    <w:p w14:paraId="7FFE57CF">
      <w:pPr>
        <w:spacing w:line="560" w:lineRule="exact"/>
        <w:ind w:firstLine="560" w:firstLineChars="200"/>
        <w:rPr>
          <w:rFonts w:ascii="仿宋" w:hAnsi="仿宋" w:eastAsia="仿宋"/>
          <w:sz w:val="28"/>
          <w:szCs w:val="28"/>
        </w:rPr>
      </w:pPr>
      <w:r>
        <w:rPr>
          <w:rFonts w:hint="eastAsia" w:ascii="仿宋" w:hAnsi="仿宋" w:eastAsia="仿宋"/>
          <w:sz w:val="28"/>
          <w:szCs w:val="28"/>
        </w:rPr>
        <w:t>2.5.成交人需随货提供产品合格证、生产许可证，出厂试验报告、型式报告等。</w:t>
      </w:r>
    </w:p>
    <w:p w14:paraId="67C7BC1E">
      <w:pPr>
        <w:spacing w:line="560" w:lineRule="exact"/>
        <w:ind w:firstLine="560" w:firstLineChars="200"/>
        <w:rPr>
          <w:rFonts w:ascii="仿宋" w:hAnsi="仿宋" w:eastAsia="仿宋"/>
          <w:sz w:val="28"/>
          <w:szCs w:val="28"/>
        </w:rPr>
      </w:pPr>
      <w:r>
        <w:rPr>
          <w:rFonts w:hint="eastAsia" w:ascii="仿宋" w:hAnsi="仿宋" w:eastAsia="仿宋"/>
          <w:sz w:val="28"/>
          <w:szCs w:val="28"/>
        </w:rPr>
        <w:t>★2.6.供货期：签订合同后20日内交货。</w:t>
      </w:r>
    </w:p>
    <w:p w14:paraId="18DDF7BF">
      <w:pPr>
        <w:spacing w:line="560" w:lineRule="exact"/>
        <w:ind w:firstLine="840" w:firstLineChars="300"/>
        <w:rPr>
          <w:rFonts w:ascii="仿宋" w:hAnsi="仿宋" w:eastAsia="仿宋"/>
          <w:sz w:val="28"/>
          <w:szCs w:val="28"/>
        </w:rPr>
      </w:pPr>
      <w:r>
        <w:rPr>
          <w:rFonts w:hint="eastAsia" w:ascii="仿宋" w:hAnsi="仿宋" w:eastAsia="仿宋"/>
          <w:sz w:val="28"/>
          <w:szCs w:val="28"/>
        </w:rPr>
        <w:t>2.7.服务地点：采购人指定地点。</w:t>
      </w:r>
    </w:p>
    <w:p w14:paraId="72E43D6B">
      <w:pPr>
        <w:pStyle w:val="4"/>
        <w:spacing w:before="0" w:after="0" w:line="560" w:lineRule="exact"/>
        <w:jc w:val="left"/>
        <w:rPr>
          <w:rFonts w:asciiTheme="minorEastAsia" w:hAnsiTheme="minorEastAsia" w:eastAsiaTheme="minorEastAsia"/>
          <w:sz w:val="28"/>
          <w:szCs w:val="28"/>
        </w:rPr>
      </w:pPr>
      <w:bookmarkStart w:id="15" w:name="_Toc184045613"/>
      <w:r>
        <w:rPr>
          <w:rFonts w:hint="eastAsia" w:asciiTheme="minorEastAsia" w:hAnsiTheme="minorEastAsia" w:eastAsiaTheme="minorEastAsia"/>
          <w:sz w:val="28"/>
          <w:szCs w:val="28"/>
        </w:rPr>
        <w:t>★3.付款方式</w:t>
      </w:r>
      <w:bookmarkEnd w:id="13"/>
      <w:bookmarkEnd w:id="14"/>
      <w:bookmarkEnd w:id="15"/>
    </w:p>
    <w:p w14:paraId="498EA266">
      <w:pPr>
        <w:widowControl/>
        <w:ind w:firstLine="280" w:firstLineChars="100"/>
        <w:jc w:val="left"/>
        <w:rPr>
          <w:rFonts w:ascii="仿宋" w:hAnsi="仿宋" w:eastAsia="仿宋"/>
          <w:sz w:val="28"/>
          <w:szCs w:val="28"/>
        </w:rPr>
      </w:pPr>
      <w:bookmarkStart w:id="16" w:name="_Toc138080268"/>
      <w:bookmarkStart w:id="17" w:name="_Toc134452756"/>
      <w:r>
        <w:rPr>
          <w:rFonts w:hint="eastAsia" w:ascii="仿宋" w:hAnsi="仿宋" w:eastAsia="仿宋"/>
          <w:sz w:val="28"/>
          <w:szCs w:val="28"/>
        </w:rPr>
        <w:t xml:space="preserve">  款项按照节点支付:合同签订后预付合同总价的 30%做为预付款，电气设备安装完成，并完成验收后，乙方应于完成验收的次月5日前提供全额的增值税发票(13%)，甲方收到发票后 30天内支付合同总额的50%;项目结算完成后 30日内，甲方根据财务资金情况付至合同总额的95%，剩余 5%为质量保证金。各节点款项支付均以甲方收到建设单位工程款项后予以同步支付。</w:t>
      </w:r>
    </w:p>
    <w:p w14:paraId="04477369">
      <w:pPr>
        <w:pStyle w:val="4"/>
        <w:spacing w:before="0" w:after="0" w:line="560" w:lineRule="exact"/>
        <w:jc w:val="left"/>
        <w:rPr>
          <w:rFonts w:asciiTheme="minorEastAsia" w:hAnsiTheme="minorEastAsia" w:eastAsiaTheme="minorEastAsia"/>
          <w:sz w:val="28"/>
          <w:szCs w:val="28"/>
        </w:rPr>
      </w:pPr>
      <w:bookmarkStart w:id="18" w:name="_Toc184045614"/>
      <w:r>
        <w:rPr>
          <w:rFonts w:hint="eastAsia" w:asciiTheme="minorEastAsia" w:hAnsiTheme="minorEastAsia" w:eastAsiaTheme="minorEastAsia"/>
          <w:sz w:val="28"/>
          <w:szCs w:val="28"/>
        </w:rPr>
        <w:t>4.验收</w:t>
      </w:r>
      <w:bookmarkEnd w:id="16"/>
      <w:bookmarkEnd w:id="18"/>
    </w:p>
    <w:p w14:paraId="72E1CBD0">
      <w:pPr>
        <w:spacing w:line="560" w:lineRule="exact"/>
        <w:ind w:firstLine="560" w:firstLineChars="200"/>
        <w:rPr>
          <w:rFonts w:ascii="仿宋" w:hAnsi="仿宋" w:eastAsia="仿宋"/>
          <w:sz w:val="28"/>
          <w:szCs w:val="28"/>
        </w:rPr>
      </w:pPr>
      <w:bookmarkStart w:id="19" w:name="_Toc138080269"/>
      <w:r>
        <w:rPr>
          <w:rFonts w:hint="eastAsia" w:ascii="仿宋" w:hAnsi="仿宋" w:eastAsia="仿宋"/>
          <w:sz w:val="28"/>
          <w:szCs w:val="28"/>
        </w:rPr>
        <w:t>货物运抵现场后，采购人将对货物数量、质量、规格等进行检验。如发现货物和规格或者两者都与采购文件、响应文件、合同不符，采购人有权限根据检验结果要求成交人立即更换或者提出索赔要求。</w:t>
      </w:r>
    </w:p>
    <w:p w14:paraId="5EFAF56F">
      <w:pPr>
        <w:pStyle w:val="4"/>
        <w:spacing w:before="0" w:after="0" w:line="560" w:lineRule="exact"/>
        <w:jc w:val="left"/>
        <w:rPr>
          <w:rFonts w:asciiTheme="minorEastAsia" w:hAnsiTheme="minorEastAsia" w:eastAsiaTheme="minorEastAsia"/>
          <w:sz w:val="28"/>
          <w:szCs w:val="28"/>
        </w:rPr>
      </w:pPr>
      <w:bookmarkStart w:id="20" w:name="_Toc184045615"/>
      <w:r>
        <w:rPr>
          <w:rFonts w:hint="eastAsia" w:asciiTheme="minorEastAsia" w:hAnsiTheme="minorEastAsia" w:eastAsiaTheme="minorEastAsia"/>
          <w:sz w:val="28"/>
          <w:szCs w:val="28"/>
        </w:rPr>
        <w:t>5.</w:t>
      </w:r>
      <w:bookmarkEnd w:id="17"/>
      <w:r>
        <w:rPr>
          <w:rFonts w:hint="eastAsia" w:asciiTheme="minorEastAsia" w:hAnsiTheme="minorEastAsia" w:eastAsiaTheme="minorEastAsia"/>
          <w:sz w:val="28"/>
          <w:szCs w:val="28"/>
        </w:rPr>
        <w:t>质量保证期</w:t>
      </w:r>
      <w:bookmarkEnd w:id="19"/>
      <w:bookmarkEnd w:id="20"/>
    </w:p>
    <w:p w14:paraId="3FB14B41">
      <w:pPr>
        <w:spacing w:line="560" w:lineRule="exact"/>
        <w:ind w:firstLine="560" w:firstLineChars="200"/>
        <w:rPr>
          <w:rFonts w:ascii="仿宋" w:hAnsi="仿宋" w:eastAsia="仿宋"/>
          <w:sz w:val="28"/>
          <w:szCs w:val="28"/>
        </w:rPr>
      </w:pPr>
      <w:bookmarkStart w:id="21" w:name="_Toc138080270"/>
      <w:r>
        <w:rPr>
          <w:rFonts w:hint="eastAsia" w:ascii="仿宋" w:hAnsi="仿宋" w:eastAsia="仿宋"/>
          <w:sz w:val="28"/>
          <w:szCs w:val="28"/>
        </w:rPr>
        <w:t>质保期：质保期为两年，在质保期头三个月内，如产品运行有严重质量的问题或质量缺陷，供方应免费予以更换，以保证需方正常运行。</w:t>
      </w:r>
    </w:p>
    <w:p w14:paraId="55380527">
      <w:pPr>
        <w:pStyle w:val="4"/>
        <w:spacing w:before="0" w:after="0" w:line="560" w:lineRule="exact"/>
        <w:jc w:val="left"/>
        <w:rPr>
          <w:rFonts w:asciiTheme="minorEastAsia" w:hAnsiTheme="minorEastAsia" w:eastAsiaTheme="minorEastAsia"/>
          <w:sz w:val="28"/>
          <w:szCs w:val="28"/>
        </w:rPr>
      </w:pPr>
      <w:bookmarkStart w:id="22" w:name="_Toc184045616"/>
      <w:r>
        <w:rPr>
          <w:rFonts w:hint="eastAsia" w:asciiTheme="minorEastAsia" w:hAnsiTheme="minorEastAsia" w:eastAsiaTheme="minorEastAsia"/>
          <w:sz w:val="28"/>
          <w:szCs w:val="28"/>
        </w:rPr>
        <w:t>6.售后服务</w:t>
      </w:r>
      <w:bookmarkEnd w:id="21"/>
      <w:bookmarkEnd w:id="22"/>
    </w:p>
    <w:p w14:paraId="7C628164">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73C3A002">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1FB89E8B">
      <w:pPr>
        <w:spacing w:line="560" w:lineRule="exact"/>
        <w:ind w:firstLine="560" w:firstLineChars="200"/>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4C55DE01">
      <w:r>
        <w:br w:type="page"/>
      </w:r>
    </w:p>
    <w:tbl>
      <w:tblPr>
        <w:tblStyle w:val="28"/>
        <w:tblW w:w="8600" w:type="dxa"/>
        <w:jc w:val="center"/>
        <w:tblLayout w:type="autofit"/>
        <w:tblCellMar>
          <w:top w:w="0" w:type="dxa"/>
          <w:left w:w="108" w:type="dxa"/>
          <w:bottom w:w="0" w:type="dxa"/>
          <w:right w:w="108" w:type="dxa"/>
        </w:tblCellMar>
      </w:tblPr>
      <w:tblGrid>
        <w:gridCol w:w="600"/>
        <w:gridCol w:w="1957"/>
        <w:gridCol w:w="3260"/>
        <w:gridCol w:w="2783"/>
      </w:tblGrid>
      <w:tr w14:paraId="7A398598">
        <w:tblPrEx>
          <w:tblCellMar>
            <w:top w:w="0" w:type="dxa"/>
            <w:left w:w="108" w:type="dxa"/>
            <w:bottom w:w="0" w:type="dxa"/>
            <w:right w:w="108" w:type="dxa"/>
          </w:tblCellMar>
        </w:tblPrEx>
        <w:trPr>
          <w:trHeight w:val="375" w:hRule="atLeast"/>
          <w:jc w:val="center"/>
        </w:trPr>
        <w:tc>
          <w:tcPr>
            <w:tcW w:w="8600" w:type="dxa"/>
            <w:gridSpan w:val="4"/>
            <w:tcBorders>
              <w:top w:val="nil"/>
              <w:left w:val="nil"/>
              <w:bottom w:val="single" w:color="000000" w:sz="4" w:space="0"/>
              <w:right w:val="nil"/>
            </w:tcBorders>
            <w:noWrap/>
            <w:vAlign w:val="center"/>
          </w:tcPr>
          <w:p w14:paraId="7CD177AA">
            <w:pPr>
              <w:widowControl/>
              <w:jc w:val="center"/>
              <w:rPr>
                <w:rFonts w:ascii="仿宋" w:hAnsi="仿宋" w:eastAsia="仿宋" w:cs="宋体"/>
                <w:color w:val="000000"/>
                <w:kern w:val="0"/>
                <w:sz w:val="28"/>
                <w:szCs w:val="28"/>
              </w:rPr>
            </w:pPr>
            <w:r>
              <w:rPr>
                <w:rFonts w:hint="eastAsia" w:ascii="仿宋" w:hAnsi="仿宋" w:eastAsia="仿宋"/>
                <w:b/>
                <w:sz w:val="28"/>
                <w:szCs w:val="28"/>
              </w:rPr>
              <w:t>主要材料品牌技术配置表</w:t>
            </w:r>
          </w:p>
        </w:tc>
      </w:tr>
      <w:tr w14:paraId="30D0C0C9">
        <w:tblPrEx>
          <w:tblCellMar>
            <w:top w:w="0" w:type="dxa"/>
            <w:left w:w="108" w:type="dxa"/>
            <w:bottom w:w="0" w:type="dxa"/>
            <w:right w:w="108" w:type="dxa"/>
          </w:tblCellMar>
        </w:tblPrEx>
        <w:trPr>
          <w:trHeight w:val="450" w:hRule="atLeast"/>
          <w:jc w:val="center"/>
        </w:trPr>
        <w:tc>
          <w:tcPr>
            <w:tcW w:w="600" w:type="dxa"/>
            <w:tcBorders>
              <w:top w:val="nil"/>
              <w:left w:val="single" w:color="000000" w:sz="4" w:space="0"/>
              <w:bottom w:val="single" w:color="000000" w:sz="4" w:space="0"/>
              <w:right w:val="single" w:color="000000" w:sz="4" w:space="0"/>
            </w:tcBorders>
            <w:vAlign w:val="center"/>
          </w:tcPr>
          <w:p w14:paraId="459000FB">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957" w:type="dxa"/>
            <w:tcBorders>
              <w:top w:val="nil"/>
              <w:left w:val="nil"/>
              <w:bottom w:val="single" w:color="000000" w:sz="4" w:space="0"/>
              <w:right w:val="single" w:color="000000" w:sz="4" w:space="0"/>
            </w:tcBorders>
            <w:vAlign w:val="center"/>
          </w:tcPr>
          <w:p w14:paraId="718B7ADF">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材料名称</w:t>
            </w:r>
          </w:p>
        </w:tc>
        <w:tc>
          <w:tcPr>
            <w:tcW w:w="3260" w:type="dxa"/>
            <w:tcBorders>
              <w:top w:val="nil"/>
              <w:left w:val="nil"/>
              <w:bottom w:val="single" w:color="000000" w:sz="4" w:space="0"/>
              <w:right w:val="single" w:color="000000" w:sz="4" w:space="0"/>
            </w:tcBorders>
            <w:vAlign w:val="center"/>
          </w:tcPr>
          <w:p w14:paraId="0CC19610">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品牌</w:t>
            </w:r>
            <w:r>
              <w:rPr>
                <w:rFonts w:ascii="仿宋" w:hAnsi="仿宋" w:eastAsia="仿宋" w:cs="Calibri"/>
                <w:b/>
                <w:bCs/>
                <w:color w:val="000000"/>
                <w:kern w:val="0"/>
                <w:sz w:val="20"/>
                <w:szCs w:val="20"/>
              </w:rPr>
              <w:t>/</w:t>
            </w:r>
            <w:r>
              <w:rPr>
                <w:rFonts w:hint="eastAsia" w:ascii="仿宋" w:hAnsi="仿宋" w:eastAsia="仿宋" w:cs="宋体"/>
                <w:b/>
                <w:bCs/>
                <w:color w:val="000000"/>
                <w:kern w:val="0"/>
                <w:sz w:val="20"/>
                <w:szCs w:val="20"/>
              </w:rPr>
              <w:t>厂家范围</w:t>
            </w:r>
          </w:p>
        </w:tc>
        <w:tc>
          <w:tcPr>
            <w:tcW w:w="2783" w:type="dxa"/>
            <w:tcBorders>
              <w:top w:val="nil"/>
              <w:left w:val="nil"/>
              <w:bottom w:val="single" w:color="000000" w:sz="4" w:space="0"/>
              <w:right w:val="single" w:color="000000" w:sz="4" w:space="0"/>
            </w:tcBorders>
            <w:vAlign w:val="center"/>
          </w:tcPr>
          <w:p w14:paraId="6F8F136B">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14:paraId="4C1F815F">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3773A89F">
            <w:pPr>
              <w:widowControl/>
              <w:jc w:val="center"/>
              <w:rPr>
                <w:rFonts w:ascii="仿宋" w:hAnsi="仿宋" w:eastAsia="仿宋" w:cs="Calibri"/>
                <w:kern w:val="0"/>
                <w:sz w:val="20"/>
                <w:szCs w:val="20"/>
              </w:rPr>
            </w:pPr>
            <w:r>
              <w:rPr>
                <w:rFonts w:hint="eastAsia" w:ascii="仿宋" w:hAnsi="仿宋" w:eastAsia="仿宋" w:cs="Calibri"/>
                <w:kern w:val="0"/>
                <w:sz w:val="20"/>
                <w:szCs w:val="20"/>
              </w:rPr>
              <w:t>1</w:t>
            </w:r>
          </w:p>
        </w:tc>
        <w:tc>
          <w:tcPr>
            <w:tcW w:w="1957" w:type="dxa"/>
            <w:tcBorders>
              <w:top w:val="nil"/>
              <w:left w:val="nil"/>
              <w:bottom w:val="single" w:color="000000" w:sz="4" w:space="0"/>
              <w:right w:val="single" w:color="000000" w:sz="4" w:space="0"/>
            </w:tcBorders>
            <w:vAlign w:val="center"/>
          </w:tcPr>
          <w:p w14:paraId="37D3C1A0">
            <w:pPr>
              <w:widowControl/>
              <w:jc w:val="left"/>
              <w:rPr>
                <w:rFonts w:ascii="仿宋" w:hAnsi="仿宋" w:eastAsia="仿宋" w:cstheme="minorBidi"/>
                <w:sz w:val="20"/>
                <w:szCs w:val="20"/>
              </w:rPr>
            </w:pPr>
            <w:r>
              <w:rPr>
                <w:rFonts w:hint="eastAsia" w:ascii="仿宋" w:hAnsi="仿宋" w:eastAsia="仿宋" w:cstheme="minorBidi"/>
                <w:sz w:val="20"/>
                <w:szCs w:val="20"/>
              </w:rPr>
              <w:t>10kV真空断路器</w:t>
            </w:r>
          </w:p>
        </w:tc>
        <w:tc>
          <w:tcPr>
            <w:tcW w:w="3260" w:type="dxa"/>
            <w:tcBorders>
              <w:top w:val="nil"/>
              <w:left w:val="nil"/>
              <w:bottom w:val="single" w:color="000000" w:sz="4" w:space="0"/>
              <w:right w:val="single" w:color="000000" w:sz="4" w:space="0"/>
            </w:tcBorders>
            <w:vAlign w:val="center"/>
          </w:tcPr>
          <w:p w14:paraId="4BFC8DCA">
            <w:pPr>
              <w:widowControl/>
              <w:jc w:val="left"/>
              <w:rPr>
                <w:rFonts w:ascii="仿宋" w:hAnsi="仿宋" w:eastAsia="仿宋" w:cstheme="minorBidi"/>
                <w:sz w:val="20"/>
                <w:szCs w:val="20"/>
              </w:rPr>
            </w:pPr>
            <w:r>
              <w:rPr>
                <w:rFonts w:hint="eastAsia" w:ascii="仿宋" w:hAnsi="仿宋" w:eastAsia="仿宋" w:cstheme="minorBidi"/>
                <w:sz w:val="20"/>
                <w:szCs w:val="20"/>
              </w:rPr>
              <w:t>上海人民、常熟开关、泰永长征、乐星产电、</w:t>
            </w:r>
            <w:r>
              <w:rPr>
                <w:rFonts w:hint="eastAsia" w:ascii="仿宋" w:hAnsi="仿宋" w:eastAsia="仿宋"/>
              </w:rPr>
              <w:t>杭申电气</w:t>
            </w:r>
          </w:p>
        </w:tc>
        <w:tc>
          <w:tcPr>
            <w:tcW w:w="2783" w:type="dxa"/>
            <w:tcBorders>
              <w:left w:val="nil"/>
              <w:bottom w:val="single" w:color="000000" w:sz="4" w:space="0"/>
              <w:right w:val="single" w:color="000000" w:sz="4" w:space="0"/>
            </w:tcBorders>
            <w:vAlign w:val="center"/>
          </w:tcPr>
          <w:p w14:paraId="30B80A48">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589A2319">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8AD0A5E">
            <w:pPr>
              <w:widowControl/>
              <w:jc w:val="center"/>
              <w:rPr>
                <w:rFonts w:ascii="仿宋" w:hAnsi="仿宋" w:eastAsia="仿宋" w:cs="Calibri"/>
                <w:kern w:val="0"/>
                <w:sz w:val="20"/>
                <w:szCs w:val="20"/>
              </w:rPr>
            </w:pPr>
            <w:r>
              <w:rPr>
                <w:rFonts w:hint="eastAsia" w:ascii="仿宋" w:hAnsi="仿宋" w:eastAsia="仿宋" w:cs="Calibri"/>
                <w:kern w:val="0"/>
                <w:sz w:val="20"/>
                <w:szCs w:val="20"/>
              </w:rPr>
              <w:t>2</w:t>
            </w:r>
          </w:p>
        </w:tc>
        <w:tc>
          <w:tcPr>
            <w:tcW w:w="1957" w:type="dxa"/>
            <w:tcBorders>
              <w:top w:val="nil"/>
              <w:left w:val="nil"/>
              <w:bottom w:val="single" w:color="000000" w:sz="4" w:space="0"/>
              <w:right w:val="single" w:color="000000" w:sz="4" w:space="0"/>
            </w:tcBorders>
            <w:vAlign w:val="center"/>
          </w:tcPr>
          <w:p w14:paraId="455C8FE2">
            <w:pPr>
              <w:widowControl/>
              <w:jc w:val="left"/>
              <w:rPr>
                <w:rFonts w:ascii="仿宋" w:hAnsi="仿宋" w:eastAsia="仿宋" w:cstheme="minorBidi"/>
                <w:sz w:val="20"/>
                <w:szCs w:val="20"/>
              </w:rPr>
            </w:pPr>
            <w:r>
              <w:rPr>
                <w:rFonts w:hint="eastAsia" w:ascii="仿宋" w:hAnsi="仿宋" w:eastAsia="仿宋" w:cstheme="minorBidi"/>
                <w:sz w:val="20"/>
                <w:szCs w:val="20"/>
              </w:rPr>
              <w:t>低压框架断路器</w:t>
            </w:r>
          </w:p>
        </w:tc>
        <w:tc>
          <w:tcPr>
            <w:tcW w:w="3260" w:type="dxa"/>
            <w:tcBorders>
              <w:top w:val="nil"/>
              <w:left w:val="nil"/>
              <w:bottom w:val="single" w:color="000000" w:sz="4" w:space="0"/>
              <w:right w:val="single" w:color="000000" w:sz="4" w:space="0"/>
            </w:tcBorders>
            <w:vAlign w:val="center"/>
          </w:tcPr>
          <w:p w14:paraId="07E0F80C">
            <w:pPr>
              <w:widowControl/>
              <w:jc w:val="left"/>
              <w:rPr>
                <w:rFonts w:ascii="仿宋" w:hAnsi="仿宋" w:eastAsia="仿宋" w:cstheme="minorBidi"/>
                <w:sz w:val="20"/>
                <w:szCs w:val="20"/>
              </w:rPr>
            </w:pPr>
            <w:r>
              <w:rPr>
                <w:rFonts w:hint="eastAsia" w:ascii="仿宋" w:hAnsi="仿宋" w:eastAsia="仿宋" w:cstheme="minorBidi"/>
                <w:sz w:val="20"/>
                <w:szCs w:val="20"/>
              </w:rPr>
              <w:t>上海人民RMW1、常熟开关CW3V、泰永长征MA41系列、乐星产电AN/AS系列、</w:t>
            </w:r>
            <w:r>
              <w:rPr>
                <w:rFonts w:hint="eastAsia" w:ascii="仿宋" w:hAnsi="仿宋" w:eastAsia="仿宋"/>
              </w:rPr>
              <w:t>杭申电气、正泰、德力西</w:t>
            </w:r>
          </w:p>
        </w:tc>
        <w:tc>
          <w:tcPr>
            <w:tcW w:w="2783" w:type="dxa"/>
            <w:tcBorders>
              <w:top w:val="nil"/>
              <w:left w:val="nil"/>
              <w:bottom w:val="single" w:color="000000" w:sz="4" w:space="0"/>
              <w:right w:val="single" w:color="000000" w:sz="4" w:space="0"/>
            </w:tcBorders>
            <w:vAlign w:val="center"/>
          </w:tcPr>
          <w:p w14:paraId="5B958ED3">
            <w:pPr>
              <w:widowControl/>
              <w:jc w:val="left"/>
              <w:rPr>
                <w:rFonts w:ascii="仿宋" w:hAnsi="仿宋" w:eastAsia="仿宋" w:cstheme="minorBidi"/>
                <w:sz w:val="20"/>
                <w:szCs w:val="20"/>
              </w:rPr>
            </w:pPr>
            <w:r>
              <w:rPr>
                <w:rFonts w:hint="eastAsia" w:ascii="仿宋" w:hAnsi="仿宋" w:eastAsia="仿宋" w:cstheme="minorBidi"/>
                <w:sz w:val="20"/>
                <w:szCs w:val="20"/>
              </w:rPr>
              <w:t>极限分段能力达到80KA以上</w:t>
            </w:r>
          </w:p>
        </w:tc>
      </w:tr>
      <w:tr w14:paraId="767C45E3">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44D159CF">
            <w:pPr>
              <w:widowControl/>
              <w:jc w:val="center"/>
              <w:rPr>
                <w:rFonts w:ascii="仿宋" w:hAnsi="仿宋" w:eastAsia="仿宋" w:cs="Calibri"/>
                <w:kern w:val="0"/>
                <w:sz w:val="20"/>
                <w:szCs w:val="20"/>
              </w:rPr>
            </w:pPr>
            <w:r>
              <w:rPr>
                <w:rFonts w:hint="eastAsia" w:ascii="仿宋" w:hAnsi="仿宋" w:eastAsia="仿宋" w:cs="Calibri"/>
                <w:kern w:val="0"/>
                <w:sz w:val="20"/>
                <w:szCs w:val="20"/>
              </w:rPr>
              <w:t>3</w:t>
            </w:r>
          </w:p>
        </w:tc>
        <w:tc>
          <w:tcPr>
            <w:tcW w:w="1957" w:type="dxa"/>
            <w:tcBorders>
              <w:top w:val="nil"/>
              <w:left w:val="nil"/>
              <w:bottom w:val="single" w:color="000000" w:sz="4" w:space="0"/>
              <w:right w:val="single" w:color="000000" w:sz="4" w:space="0"/>
            </w:tcBorders>
            <w:vAlign w:val="center"/>
          </w:tcPr>
          <w:p w14:paraId="475E6D10">
            <w:pPr>
              <w:widowControl/>
              <w:jc w:val="left"/>
              <w:rPr>
                <w:rFonts w:ascii="仿宋" w:hAnsi="仿宋" w:eastAsia="仿宋" w:cstheme="minorBidi"/>
                <w:sz w:val="20"/>
                <w:szCs w:val="20"/>
              </w:rPr>
            </w:pPr>
            <w:r>
              <w:rPr>
                <w:rFonts w:hint="eastAsia" w:ascii="仿宋" w:hAnsi="仿宋" w:eastAsia="仿宋" w:cstheme="minorBidi"/>
                <w:sz w:val="20"/>
                <w:szCs w:val="20"/>
              </w:rPr>
              <w:t>低压塑壳断路器</w:t>
            </w:r>
          </w:p>
        </w:tc>
        <w:tc>
          <w:tcPr>
            <w:tcW w:w="3260" w:type="dxa"/>
            <w:tcBorders>
              <w:top w:val="nil"/>
              <w:left w:val="nil"/>
              <w:bottom w:val="single" w:color="000000" w:sz="4" w:space="0"/>
              <w:right w:val="single" w:color="000000" w:sz="4" w:space="0"/>
            </w:tcBorders>
            <w:vAlign w:val="center"/>
          </w:tcPr>
          <w:p w14:paraId="082B4FBD">
            <w:pPr>
              <w:widowControl/>
              <w:jc w:val="left"/>
              <w:rPr>
                <w:rFonts w:ascii="仿宋" w:hAnsi="仿宋" w:eastAsia="仿宋" w:cstheme="minorBidi"/>
                <w:sz w:val="20"/>
                <w:szCs w:val="20"/>
              </w:rPr>
            </w:pPr>
            <w:r>
              <w:rPr>
                <w:rFonts w:hint="eastAsia" w:ascii="仿宋" w:hAnsi="仿宋" w:eastAsia="仿宋" w:cstheme="minorBidi"/>
                <w:sz w:val="20"/>
                <w:szCs w:val="20"/>
              </w:rPr>
              <w:t>上海人民RMM1、常熟开关CM5、泰永长征MB41系列、乐星产电ABS系列、</w:t>
            </w:r>
            <w:r>
              <w:rPr>
                <w:rFonts w:hint="eastAsia" w:ascii="仿宋" w:hAnsi="仿宋" w:eastAsia="仿宋"/>
              </w:rPr>
              <w:t>杭申电气、正泰、德力西</w:t>
            </w:r>
          </w:p>
        </w:tc>
        <w:tc>
          <w:tcPr>
            <w:tcW w:w="2783" w:type="dxa"/>
            <w:tcBorders>
              <w:top w:val="nil"/>
              <w:left w:val="nil"/>
              <w:bottom w:val="single" w:color="000000" w:sz="4" w:space="0"/>
              <w:right w:val="single" w:color="000000" w:sz="4" w:space="0"/>
            </w:tcBorders>
            <w:vAlign w:val="center"/>
          </w:tcPr>
          <w:p w14:paraId="3D0B5465">
            <w:pPr>
              <w:widowControl/>
              <w:jc w:val="left"/>
              <w:rPr>
                <w:rFonts w:ascii="仿宋" w:hAnsi="仿宋" w:eastAsia="仿宋" w:cstheme="minorBidi"/>
                <w:sz w:val="20"/>
                <w:szCs w:val="20"/>
              </w:rPr>
            </w:pPr>
            <w:r>
              <w:rPr>
                <w:rFonts w:hint="eastAsia" w:ascii="仿宋" w:hAnsi="仿宋" w:eastAsia="仿宋" w:cstheme="minorBidi"/>
                <w:sz w:val="20"/>
                <w:szCs w:val="20"/>
              </w:rPr>
              <w:t>极限分段能力达到50KA以上</w:t>
            </w:r>
          </w:p>
        </w:tc>
      </w:tr>
      <w:tr w14:paraId="1A141D83">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5F3A6090">
            <w:pPr>
              <w:widowControl/>
              <w:jc w:val="center"/>
              <w:rPr>
                <w:rFonts w:ascii="仿宋" w:hAnsi="仿宋" w:eastAsia="仿宋" w:cs="Calibri"/>
                <w:kern w:val="0"/>
                <w:sz w:val="20"/>
                <w:szCs w:val="20"/>
              </w:rPr>
            </w:pPr>
            <w:r>
              <w:rPr>
                <w:rFonts w:hint="eastAsia" w:ascii="仿宋" w:hAnsi="仿宋" w:eastAsia="仿宋" w:cs="Calibri"/>
                <w:kern w:val="0"/>
                <w:sz w:val="20"/>
                <w:szCs w:val="20"/>
              </w:rPr>
              <w:t>4</w:t>
            </w:r>
          </w:p>
        </w:tc>
        <w:tc>
          <w:tcPr>
            <w:tcW w:w="1957" w:type="dxa"/>
            <w:tcBorders>
              <w:top w:val="nil"/>
              <w:left w:val="nil"/>
              <w:bottom w:val="single" w:color="000000" w:sz="4" w:space="0"/>
              <w:right w:val="single" w:color="000000" w:sz="4" w:space="0"/>
            </w:tcBorders>
            <w:vAlign w:val="center"/>
          </w:tcPr>
          <w:p w14:paraId="2F5616C7">
            <w:pPr>
              <w:widowControl/>
              <w:jc w:val="left"/>
              <w:rPr>
                <w:rFonts w:ascii="仿宋" w:hAnsi="仿宋" w:eastAsia="仿宋" w:cstheme="minorBidi"/>
                <w:sz w:val="20"/>
                <w:szCs w:val="20"/>
              </w:rPr>
            </w:pPr>
            <w:r>
              <w:rPr>
                <w:rFonts w:hint="eastAsia" w:ascii="仿宋" w:hAnsi="仿宋" w:eastAsia="仿宋" w:cstheme="minorBidi"/>
                <w:sz w:val="20"/>
                <w:szCs w:val="20"/>
              </w:rPr>
              <w:t>10kV变压器（全铜）</w:t>
            </w:r>
          </w:p>
        </w:tc>
        <w:tc>
          <w:tcPr>
            <w:tcW w:w="3260" w:type="dxa"/>
            <w:tcBorders>
              <w:top w:val="nil"/>
              <w:left w:val="nil"/>
              <w:bottom w:val="single" w:color="000000" w:sz="4" w:space="0"/>
              <w:right w:val="single" w:color="000000" w:sz="4" w:space="0"/>
            </w:tcBorders>
            <w:vAlign w:val="center"/>
          </w:tcPr>
          <w:p w14:paraId="3625967F">
            <w:pPr>
              <w:widowControl/>
              <w:jc w:val="left"/>
              <w:rPr>
                <w:rFonts w:ascii="仿宋" w:hAnsi="仿宋" w:eastAsia="仿宋" w:cstheme="minorBidi"/>
                <w:sz w:val="20"/>
                <w:szCs w:val="20"/>
              </w:rPr>
            </w:pPr>
            <w:r>
              <w:rPr>
                <w:rFonts w:hint="eastAsia" w:ascii="仿宋" w:hAnsi="仿宋" w:eastAsia="仿宋" w:cstheme="minorBidi"/>
                <w:sz w:val="20"/>
                <w:szCs w:val="20"/>
              </w:rPr>
              <w:t>青岛恒能、青岛特锐德、山东泰开、青岛青电、青岛恒生、江苏华辰、临清亿合、青岛海电</w:t>
            </w:r>
          </w:p>
        </w:tc>
        <w:tc>
          <w:tcPr>
            <w:tcW w:w="2783" w:type="dxa"/>
            <w:tcBorders>
              <w:top w:val="nil"/>
              <w:left w:val="nil"/>
              <w:bottom w:val="single" w:color="000000" w:sz="4" w:space="0"/>
              <w:right w:val="single" w:color="000000" w:sz="4" w:space="0"/>
            </w:tcBorders>
            <w:vAlign w:val="center"/>
          </w:tcPr>
          <w:p w14:paraId="4DCB0C94">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515E519A">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4A6C3DDA">
            <w:pPr>
              <w:widowControl/>
              <w:jc w:val="center"/>
              <w:rPr>
                <w:rFonts w:ascii="仿宋" w:hAnsi="仿宋" w:eastAsia="仿宋" w:cs="Calibri"/>
                <w:kern w:val="0"/>
                <w:sz w:val="20"/>
                <w:szCs w:val="20"/>
              </w:rPr>
            </w:pPr>
            <w:r>
              <w:rPr>
                <w:rFonts w:hint="eastAsia" w:ascii="仿宋" w:hAnsi="仿宋" w:eastAsia="仿宋" w:cs="Calibri"/>
                <w:kern w:val="0"/>
                <w:sz w:val="20"/>
                <w:szCs w:val="20"/>
              </w:rPr>
              <w:t>5</w:t>
            </w:r>
          </w:p>
        </w:tc>
        <w:tc>
          <w:tcPr>
            <w:tcW w:w="1957" w:type="dxa"/>
            <w:tcBorders>
              <w:top w:val="nil"/>
              <w:left w:val="nil"/>
              <w:bottom w:val="single" w:color="000000" w:sz="4" w:space="0"/>
              <w:right w:val="single" w:color="000000" w:sz="4" w:space="0"/>
            </w:tcBorders>
            <w:vAlign w:val="center"/>
          </w:tcPr>
          <w:p w14:paraId="48963109">
            <w:pPr>
              <w:widowControl/>
              <w:jc w:val="left"/>
              <w:rPr>
                <w:rFonts w:ascii="仿宋" w:hAnsi="仿宋" w:eastAsia="仿宋" w:cstheme="minorBidi"/>
                <w:sz w:val="20"/>
                <w:szCs w:val="20"/>
              </w:rPr>
            </w:pPr>
            <w:r>
              <w:rPr>
                <w:rFonts w:hint="eastAsia" w:ascii="仿宋" w:hAnsi="仿宋" w:eastAsia="仿宋" w:cstheme="minorBidi"/>
                <w:sz w:val="20"/>
                <w:szCs w:val="20"/>
              </w:rPr>
              <w:t>多功能电力仪表</w:t>
            </w:r>
          </w:p>
        </w:tc>
        <w:tc>
          <w:tcPr>
            <w:tcW w:w="3260" w:type="dxa"/>
            <w:tcBorders>
              <w:top w:val="nil"/>
              <w:left w:val="nil"/>
              <w:bottom w:val="single" w:color="000000" w:sz="4" w:space="0"/>
              <w:right w:val="single" w:color="000000" w:sz="4" w:space="0"/>
            </w:tcBorders>
            <w:vAlign w:val="center"/>
          </w:tcPr>
          <w:p w14:paraId="34E1577F">
            <w:pPr>
              <w:widowControl/>
              <w:jc w:val="left"/>
              <w:rPr>
                <w:rFonts w:ascii="仿宋" w:hAnsi="仿宋" w:eastAsia="仿宋" w:cstheme="minorBidi"/>
                <w:sz w:val="20"/>
                <w:szCs w:val="20"/>
              </w:rPr>
            </w:pPr>
            <w:r>
              <w:rPr>
                <w:rFonts w:hint="eastAsia" w:ascii="仿宋" w:hAnsi="仿宋" w:eastAsia="仿宋"/>
                <w:sz w:val="20"/>
                <w:szCs w:val="20"/>
              </w:rPr>
              <w:t>伊顿电力、上海安科瑞、北京德威特、许继、帝森南自</w:t>
            </w:r>
          </w:p>
        </w:tc>
        <w:tc>
          <w:tcPr>
            <w:tcW w:w="2783" w:type="dxa"/>
            <w:tcBorders>
              <w:top w:val="nil"/>
              <w:left w:val="nil"/>
              <w:bottom w:val="single" w:color="000000" w:sz="4" w:space="0"/>
              <w:right w:val="single" w:color="000000" w:sz="4" w:space="0"/>
            </w:tcBorders>
            <w:vAlign w:val="center"/>
          </w:tcPr>
          <w:p w14:paraId="6831CAB2">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3AC99CBD">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135C241A">
            <w:pPr>
              <w:widowControl/>
              <w:jc w:val="center"/>
              <w:rPr>
                <w:rFonts w:ascii="仿宋" w:hAnsi="仿宋" w:eastAsia="仿宋" w:cs="Calibri"/>
                <w:kern w:val="0"/>
                <w:sz w:val="20"/>
                <w:szCs w:val="20"/>
              </w:rPr>
            </w:pPr>
            <w:r>
              <w:rPr>
                <w:rFonts w:hint="eastAsia" w:ascii="仿宋" w:hAnsi="仿宋" w:eastAsia="仿宋" w:cs="Calibri"/>
                <w:kern w:val="0"/>
                <w:sz w:val="20"/>
                <w:szCs w:val="20"/>
              </w:rPr>
              <w:t>6</w:t>
            </w:r>
          </w:p>
        </w:tc>
        <w:tc>
          <w:tcPr>
            <w:tcW w:w="1957" w:type="dxa"/>
            <w:tcBorders>
              <w:top w:val="nil"/>
              <w:left w:val="nil"/>
              <w:bottom w:val="single" w:color="000000" w:sz="4" w:space="0"/>
              <w:right w:val="single" w:color="000000" w:sz="4" w:space="0"/>
            </w:tcBorders>
            <w:vAlign w:val="center"/>
          </w:tcPr>
          <w:p w14:paraId="14B64421">
            <w:pPr>
              <w:widowControl/>
              <w:jc w:val="left"/>
              <w:rPr>
                <w:rFonts w:ascii="仿宋" w:hAnsi="仿宋" w:eastAsia="仿宋" w:cstheme="minorBidi"/>
                <w:sz w:val="20"/>
                <w:szCs w:val="20"/>
              </w:rPr>
            </w:pPr>
            <w:r>
              <w:rPr>
                <w:rFonts w:hint="eastAsia" w:ascii="仿宋" w:hAnsi="仿宋" w:eastAsia="仿宋" w:cstheme="minorBidi"/>
                <w:sz w:val="20"/>
                <w:szCs w:val="20"/>
              </w:rPr>
              <w:t>微机保护及智能操控装置</w:t>
            </w:r>
          </w:p>
        </w:tc>
        <w:tc>
          <w:tcPr>
            <w:tcW w:w="3260" w:type="dxa"/>
            <w:tcBorders>
              <w:top w:val="nil"/>
              <w:left w:val="nil"/>
              <w:bottom w:val="single" w:color="000000" w:sz="4" w:space="0"/>
              <w:right w:val="single" w:color="000000" w:sz="4" w:space="0"/>
            </w:tcBorders>
            <w:vAlign w:val="center"/>
          </w:tcPr>
          <w:p w14:paraId="2D001265">
            <w:pPr>
              <w:widowControl/>
              <w:jc w:val="left"/>
              <w:rPr>
                <w:rFonts w:ascii="仿宋" w:hAnsi="仿宋" w:eastAsia="仿宋" w:cstheme="minorBidi"/>
                <w:sz w:val="20"/>
                <w:szCs w:val="20"/>
              </w:rPr>
            </w:pPr>
            <w:r>
              <w:rPr>
                <w:rFonts w:hint="eastAsia" w:ascii="仿宋" w:hAnsi="仿宋" w:eastAsia="仿宋"/>
                <w:sz w:val="20"/>
                <w:szCs w:val="20"/>
              </w:rPr>
              <w:t>威海锐恩、国电南瑞、上海安科瑞、许继、帝森南自</w:t>
            </w:r>
          </w:p>
        </w:tc>
        <w:tc>
          <w:tcPr>
            <w:tcW w:w="2783" w:type="dxa"/>
            <w:tcBorders>
              <w:top w:val="nil"/>
              <w:left w:val="nil"/>
              <w:bottom w:val="single" w:color="000000" w:sz="4" w:space="0"/>
              <w:right w:val="single" w:color="000000" w:sz="4" w:space="0"/>
            </w:tcBorders>
            <w:vAlign w:val="center"/>
          </w:tcPr>
          <w:p w14:paraId="14F7089E">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55E9E413">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CA04EBF">
            <w:pPr>
              <w:widowControl/>
              <w:jc w:val="center"/>
              <w:rPr>
                <w:rFonts w:ascii="仿宋" w:hAnsi="仿宋" w:eastAsia="仿宋" w:cs="Calibri"/>
                <w:kern w:val="0"/>
                <w:sz w:val="20"/>
                <w:szCs w:val="20"/>
              </w:rPr>
            </w:pPr>
            <w:r>
              <w:rPr>
                <w:rFonts w:hint="eastAsia" w:ascii="仿宋" w:hAnsi="仿宋" w:eastAsia="仿宋" w:cs="Calibri"/>
                <w:kern w:val="0"/>
                <w:sz w:val="20"/>
                <w:szCs w:val="20"/>
              </w:rPr>
              <w:t>7</w:t>
            </w:r>
          </w:p>
        </w:tc>
        <w:tc>
          <w:tcPr>
            <w:tcW w:w="1957" w:type="dxa"/>
            <w:tcBorders>
              <w:top w:val="nil"/>
              <w:left w:val="nil"/>
              <w:bottom w:val="single" w:color="000000" w:sz="4" w:space="0"/>
              <w:right w:val="single" w:color="000000" w:sz="4" w:space="0"/>
            </w:tcBorders>
            <w:vAlign w:val="center"/>
          </w:tcPr>
          <w:p w14:paraId="0BFE08A8">
            <w:pPr>
              <w:widowControl/>
              <w:jc w:val="left"/>
              <w:rPr>
                <w:rFonts w:ascii="仿宋" w:hAnsi="仿宋" w:eastAsia="仿宋" w:cstheme="minorBidi"/>
                <w:sz w:val="20"/>
                <w:szCs w:val="20"/>
              </w:rPr>
            </w:pPr>
            <w:r>
              <w:rPr>
                <w:rFonts w:hint="eastAsia" w:ascii="仿宋" w:hAnsi="仿宋" w:eastAsia="仿宋" w:cstheme="minorBidi"/>
                <w:sz w:val="20"/>
                <w:szCs w:val="20"/>
              </w:rPr>
              <w:t>电压及电流互感器</w:t>
            </w:r>
          </w:p>
        </w:tc>
        <w:tc>
          <w:tcPr>
            <w:tcW w:w="3260" w:type="dxa"/>
            <w:tcBorders>
              <w:top w:val="nil"/>
              <w:left w:val="nil"/>
              <w:bottom w:val="single" w:color="000000" w:sz="4" w:space="0"/>
              <w:right w:val="single" w:color="000000" w:sz="4" w:space="0"/>
            </w:tcBorders>
            <w:noWrap/>
            <w:vAlign w:val="center"/>
          </w:tcPr>
          <w:p w14:paraId="78D87076">
            <w:pPr>
              <w:widowControl/>
              <w:jc w:val="left"/>
              <w:rPr>
                <w:rFonts w:ascii="仿宋" w:hAnsi="仿宋" w:eastAsia="仿宋" w:cstheme="minorBidi"/>
                <w:sz w:val="20"/>
                <w:szCs w:val="20"/>
              </w:rPr>
            </w:pPr>
            <w:r>
              <w:rPr>
                <w:rFonts w:hint="eastAsia" w:ascii="仿宋" w:hAnsi="仿宋" w:eastAsia="仿宋" w:cstheme="minorBidi"/>
                <w:sz w:val="20"/>
                <w:szCs w:val="20"/>
              </w:rPr>
              <w:t>大连北方、大连一互、大连二互</w:t>
            </w:r>
          </w:p>
        </w:tc>
        <w:tc>
          <w:tcPr>
            <w:tcW w:w="2783" w:type="dxa"/>
            <w:tcBorders>
              <w:top w:val="nil"/>
              <w:left w:val="nil"/>
              <w:bottom w:val="single" w:color="000000" w:sz="4" w:space="0"/>
              <w:right w:val="single" w:color="000000" w:sz="4" w:space="0"/>
            </w:tcBorders>
            <w:vAlign w:val="center"/>
          </w:tcPr>
          <w:p w14:paraId="58930C96">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3C1AE0DF">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23F40982">
            <w:pPr>
              <w:widowControl/>
              <w:jc w:val="center"/>
              <w:rPr>
                <w:rFonts w:ascii="仿宋" w:hAnsi="仿宋" w:eastAsia="仿宋" w:cs="Calibri"/>
                <w:kern w:val="0"/>
                <w:sz w:val="20"/>
                <w:szCs w:val="20"/>
              </w:rPr>
            </w:pPr>
            <w:r>
              <w:rPr>
                <w:rFonts w:hint="eastAsia" w:ascii="仿宋" w:hAnsi="仿宋" w:eastAsia="仿宋" w:cs="Calibri"/>
                <w:kern w:val="0"/>
                <w:sz w:val="20"/>
                <w:szCs w:val="20"/>
              </w:rPr>
              <w:t>8</w:t>
            </w:r>
          </w:p>
        </w:tc>
        <w:tc>
          <w:tcPr>
            <w:tcW w:w="1957" w:type="dxa"/>
            <w:tcBorders>
              <w:top w:val="nil"/>
              <w:left w:val="nil"/>
              <w:bottom w:val="single" w:color="000000" w:sz="4" w:space="0"/>
              <w:right w:val="single" w:color="000000" w:sz="4" w:space="0"/>
            </w:tcBorders>
            <w:vAlign w:val="center"/>
          </w:tcPr>
          <w:p w14:paraId="67207708">
            <w:pPr>
              <w:widowControl/>
              <w:jc w:val="left"/>
              <w:rPr>
                <w:rFonts w:ascii="仿宋" w:hAnsi="仿宋" w:eastAsia="仿宋" w:cstheme="minorBidi"/>
                <w:sz w:val="20"/>
                <w:szCs w:val="20"/>
              </w:rPr>
            </w:pPr>
            <w:r>
              <w:rPr>
                <w:rFonts w:hint="eastAsia" w:ascii="仿宋" w:hAnsi="仿宋" w:eastAsia="仿宋" w:cstheme="minorBidi"/>
                <w:sz w:val="20"/>
                <w:szCs w:val="20"/>
              </w:rPr>
              <w:t xml:space="preserve">低压有源滤波、电容、电抗: </w:t>
            </w:r>
          </w:p>
        </w:tc>
        <w:tc>
          <w:tcPr>
            <w:tcW w:w="3260" w:type="dxa"/>
            <w:tcBorders>
              <w:top w:val="nil"/>
              <w:left w:val="nil"/>
              <w:bottom w:val="single" w:color="000000" w:sz="4" w:space="0"/>
              <w:right w:val="single" w:color="000000" w:sz="4" w:space="0"/>
            </w:tcBorders>
            <w:noWrap/>
            <w:vAlign w:val="center"/>
          </w:tcPr>
          <w:p w14:paraId="06A494C0">
            <w:pPr>
              <w:widowControl/>
              <w:jc w:val="left"/>
              <w:rPr>
                <w:rFonts w:ascii="仿宋" w:hAnsi="仿宋" w:eastAsia="仿宋" w:cstheme="minorBidi"/>
                <w:sz w:val="20"/>
                <w:szCs w:val="20"/>
              </w:rPr>
            </w:pPr>
            <w:r>
              <w:rPr>
                <w:rFonts w:hint="eastAsia" w:ascii="仿宋" w:hAnsi="仿宋" w:eastAsia="仿宋"/>
                <w:bCs/>
                <w:sz w:val="20"/>
                <w:szCs w:val="20"/>
              </w:rPr>
              <w:t>上海正尔、北京昊威尔、轶丝科那、浙江南德、莱提电气、莱宝、指月</w:t>
            </w:r>
          </w:p>
        </w:tc>
        <w:tc>
          <w:tcPr>
            <w:tcW w:w="2783" w:type="dxa"/>
            <w:tcBorders>
              <w:top w:val="nil"/>
              <w:left w:val="nil"/>
              <w:bottom w:val="single" w:color="000000" w:sz="4" w:space="0"/>
              <w:right w:val="single" w:color="000000" w:sz="4" w:space="0"/>
            </w:tcBorders>
            <w:vAlign w:val="center"/>
          </w:tcPr>
          <w:p w14:paraId="4B52261D">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38CDD06E">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13C2510F">
            <w:pPr>
              <w:widowControl/>
              <w:jc w:val="center"/>
              <w:rPr>
                <w:rFonts w:ascii="仿宋" w:hAnsi="仿宋" w:eastAsia="仿宋" w:cs="Calibri"/>
                <w:kern w:val="0"/>
                <w:sz w:val="20"/>
                <w:szCs w:val="20"/>
              </w:rPr>
            </w:pPr>
            <w:r>
              <w:rPr>
                <w:rFonts w:hint="eastAsia" w:ascii="仿宋" w:hAnsi="仿宋" w:eastAsia="仿宋" w:cs="Calibri"/>
                <w:kern w:val="0"/>
                <w:sz w:val="20"/>
                <w:szCs w:val="20"/>
              </w:rPr>
              <w:t>9</w:t>
            </w:r>
          </w:p>
        </w:tc>
        <w:tc>
          <w:tcPr>
            <w:tcW w:w="1957" w:type="dxa"/>
            <w:tcBorders>
              <w:top w:val="nil"/>
              <w:left w:val="nil"/>
              <w:bottom w:val="single" w:color="000000" w:sz="4" w:space="0"/>
              <w:right w:val="single" w:color="000000" w:sz="4" w:space="0"/>
            </w:tcBorders>
            <w:vAlign w:val="center"/>
          </w:tcPr>
          <w:p w14:paraId="23001116">
            <w:pPr>
              <w:widowControl/>
              <w:jc w:val="left"/>
              <w:rPr>
                <w:rFonts w:ascii="仿宋" w:hAnsi="仿宋" w:eastAsia="仿宋" w:cstheme="minorBidi"/>
                <w:sz w:val="20"/>
                <w:szCs w:val="20"/>
              </w:rPr>
            </w:pPr>
            <w:r>
              <w:rPr>
                <w:rFonts w:hint="eastAsia" w:ascii="仿宋" w:hAnsi="仿宋" w:eastAsia="仿宋" w:cstheme="minorBidi"/>
                <w:sz w:val="20"/>
                <w:szCs w:val="20"/>
              </w:rPr>
              <w:t>火灾监控及主机</w:t>
            </w:r>
          </w:p>
        </w:tc>
        <w:tc>
          <w:tcPr>
            <w:tcW w:w="3260" w:type="dxa"/>
            <w:tcBorders>
              <w:top w:val="nil"/>
              <w:left w:val="nil"/>
              <w:bottom w:val="single" w:color="000000" w:sz="4" w:space="0"/>
              <w:right w:val="single" w:color="000000" w:sz="4" w:space="0"/>
            </w:tcBorders>
            <w:vAlign w:val="center"/>
          </w:tcPr>
          <w:p w14:paraId="69A18E0F">
            <w:pPr>
              <w:widowControl/>
              <w:jc w:val="left"/>
              <w:rPr>
                <w:rFonts w:ascii="仿宋" w:hAnsi="仿宋" w:eastAsia="仿宋" w:cstheme="minorBidi"/>
                <w:sz w:val="20"/>
                <w:szCs w:val="20"/>
              </w:rPr>
            </w:pPr>
            <w:r>
              <w:rPr>
                <w:rFonts w:hint="eastAsia" w:ascii="仿宋" w:hAnsi="仿宋" w:eastAsia="仿宋"/>
                <w:sz w:val="20"/>
                <w:szCs w:val="20"/>
              </w:rPr>
              <w:t>施耐德万高、上海安科瑞、北京利达、</w:t>
            </w:r>
            <w:r>
              <w:rPr>
                <w:rFonts w:hint="eastAsia" w:ascii="仿宋" w:hAnsi="仿宋" w:eastAsia="仿宋"/>
                <w:szCs w:val="21"/>
              </w:rPr>
              <w:t>爱博精电</w:t>
            </w:r>
          </w:p>
        </w:tc>
        <w:tc>
          <w:tcPr>
            <w:tcW w:w="2783" w:type="dxa"/>
            <w:tcBorders>
              <w:top w:val="nil"/>
              <w:left w:val="nil"/>
              <w:bottom w:val="single" w:color="000000" w:sz="4" w:space="0"/>
              <w:right w:val="single" w:color="000000" w:sz="4" w:space="0"/>
            </w:tcBorders>
            <w:vAlign w:val="center"/>
          </w:tcPr>
          <w:p w14:paraId="236C4EA1">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08B502C1">
        <w:tblPrEx>
          <w:tblCellMar>
            <w:top w:w="0" w:type="dxa"/>
            <w:left w:w="108" w:type="dxa"/>
            <w:bottom w:w="0" w:type="dxa"/>
            <w:right w:w="108" w:type="dxa"/>
          </w:tblCellMar>
        </w:tblPrEx>
        <w:trPr>
          <w:trHeight w:val="1269" w:hRule="atLeast"/>
          <w:jc w:val="center"/>
        </w:trPr>
        <w:tc>
          <w:tcPr>
            <w:tcW w:w="8600" w:type="dxa"/>
            <w:gridSpan w:val="4"/>
            <w:tcBorders>
              <w:top w:val="single" w:color="000000" w:sz="4" w:space="0"/>
              <w:left w:val="single" w:color="000000" w:sz="4" w:space="0"/>
              <w:bottom w:val="single" w:color="000000" w:sz="4" w:space="0"/>
              <w:right w:val="single" w:color="000000" w:sz="4" w:space="0"/>
            </w:tcBorders>
          </w:tcPr>
          <w:p w14:paraId="6DEC95BC">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备注：电力工程投标单位需提供投标选用元器件针对本项目设备采购供应商的授权文件扫描件，授权方必须是指定范围元器件生产厂家或其合法授权的经销商、代理商，项目授权方若为授权经销商、代理商的，需提供元器件生产厂家对经销商或代理商的项目授权书（或授权书复印件加盖公章）。</w:t>
            </w:r>
            <w:r>
              <w:rPr>
                <w:rFonts w:hint="eastAsia" w:ascii="仿宋" w:hAnsi="仿宋" w:eastAsia="仿宋"/>
                <w:sz w:val="20"/>
                <w:szCs w:val="20"/>
                <w:lang w:val="zh-CN"/>
              </w:rPr>
              <w:t>其他未尽事项，按照图纸设计，满足设计要求。</w:t>
            </w:r>
          </w:p>
        </w:tc>
      </w:tr>
    </w:tbl>
    <w:p w14:paraId="335107BD">
      <w:pPr>
        <w:spacing w:line="360" w:lineRule="auto"/>
        <w:rPr>
          <w:rFonts w:ascii="仿宋" w:hAnsi="仿宋" w:eastAsia="仿宋"/>
          <w:b/>
          <w:bCs/>
          <w:sz w:val="28"/>
          <w:szCs w:val="28"/>
        </w:rPr>
      </w:pPr>
    </w:p>
    <w:p w14:paraId="0164B41B">
      <w:pPr>
        <w:widowControl/>
        <w:jc w:val="left"/>
        <w:rPr>
          <w:rFonts w:ascii="仿宋" w:hAnsi="仿宋" w:eastAsia="仿宋"/>
          <w:b/>
          <w:bCs/>
          <w:sz w:val="28"/>
          <w:szCs w:val="28"/>
        </w:rPr>
      </w:pPr>
      <w:r>
        <w:rPr>
          <w:rFonts w:ascii="仿宋" w:hAnsi="仿宋" w:eastAsia="仿宋"/>
          <w:b/>
          <w:bCs/>
          <w:sz w:val="28"/>
          <w:szCs w:val="28"/>
        </w:rPr>
        <w:br w:type="page"/>
      </w:r>
    </w:p>
    <w:p w14:paraId="184DA46D">
      <w:pPr>
        <w:spacing w:line="560" w:lineRule="exact"/>
        <w:outlineLvl w:val="0"/>
        <w:rPr>
          <w:rFonts w:ascii="仿宋" w:hAnsi="仿宋" w:eastAsia="仿宋"/>
          <w:b/>
          <w:bCs/>
          <w:sz w:val="28"/>
          <w:szCs w:val="28"/>
        </w:rPr>
      </w:pPr>
      <w:r>
        <w:rPr>
          <w:rFonts w:hint="eastAsia" w:ascii="仿宋" w:hAnsi="仿宋" w:eastAsia="仿宋"/>
          <w:b/>
          <w:bCs/>
          <w:sz w:val="28"/>
          <w:szCs w:val="28"/>
        </w:rPr>
        <w:t>附录</w:t>
      </w:r>
      <w:r>
        <w:rPr>
          <w:rFonts w:hint="eastAsia" w:ascii="仿宋" w:hAnsi="仿宋" w:eastAsia="仿宋"/>
          <w:sz w:val="28"/>
          <w:szCs w:val="28"/>
        </w:rPr>
        <w:t>：</w:t>
      </w:r>
      <w:r>
        <w:rPr>
          <w:rFonts w:hint="eastAsia" w:ascii="仿宋" w:hAnsi="仿宋" w:eastAsia="仿宋"/>
          <w:b/>
          <w:bCs/>
          <w:sz w:val="28"/>
          <w:szCs w:val="28"/>
        </w:rPr>
        <w:t>2号能源站三期外线高压配电工程变配电设备采购清单控制价（含税价，增值税税率为13%）</w:t>
      </w:r>
    </w:p>
    <w:tbl>
      <w:tblPr>
        <w:tblStyle w:val="28"/>
        <w:tblW w:w="0" w:type="auto"/>
        <w:tblInd w:w="0" w:type="dxa"/>
        <w:tblLayout w:type="autofit"/>
        <w:tblCellMar>
          <w:top w:w="0" w:type="dxa"/>
          <w:left w:w="108" w:type="dxa"/>
          <w:bottom w:w="0" w:type="dxa"/>
          <w:right w:w="108" w:type="dxa"/>
        </w:tblCellMar>
      </w:tblPr>
      <w:tblGrid>
        <w:gridCol w:w="576"/>
        <w:gridCol w:w="1659"/>
        <w:gridCol w:w="2560"/>
        <w:gridCol w:w="576"/>
        <w:gridCol w:w="936"/>
        <w:gridCol w:w="1164"/>
        <w:gridCol w:w="1239"/>
        <w:gridCol w:w="576"/>
      </w:tblGrid>
      <w:tr w14:paraId="432DC4E3">
        <w:tblPrEx>
          <w:tblCellMar>
            <w:top w:w="0" w:type="dxa"/>
            <w:left w:w="108" w:type="dxa"/>
            <w:bottom w:w="0" w:type="dxa"/>
            <w:right w:w="108" w:type="dxa"/>
          </w:tblCellMar>
        </w:tblPrEx>
        <w:trPr>
          <w:trHeight w:val="8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1ABE0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D07191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材料名称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EBBA78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规格型号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1D5C96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FE480E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采购数量</w:t>
            </w:r>
          </w:p>
        </w:tc>
        <w:tc>
          <w:tcPr>
            <w:tcW w:w="0" w:type="auto"/>
            <w:tcBorders>
              <w:top w:val="single" w:color="auto" w:sz="4" w:space="0"/>
              <w:left w:val="nil"/>
              <w:bottom w:val="single" w:color="auto" w:sz="4" w:space="0"/>
              <w:right w:val="single" w:color="auto" w:sz="4" w:space="0"/>
            </w:tcBorders>
            <w:shd w:val="clear" w:color="auto" w:fill="auto"/>
            <w:vAlign w:val="center"/>
          </w:tcPr>
          <w:p w14:paraId="23B1B01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采购控制单价（元）</w:t>
            </w:r>
          </w:p>
        </w:tc>
        <w:tc>
          <w:tcPr>
            <w:tcW w:w="0" w:type="auto"/>
            <w:tcBorders>
              <w:top w:val="single" w:color="auto" w:sz="4" w:space="0"/>
              <w:left w:val="nil"/>
              <w:bottom w:val="single" w:color="auto" w:sz="4" w:space="0"/>
              <w:right w:val="single" w:color="auto" w:sz="4" w:space="0"/>
            </w:tcBorders>
            <w:shd w:val="clear" w:color="auto" w:fill="auto"/>
            <w:vAlign w:val="center"/>
          </w:tcPr>
          <w:p w14:paraId="7810BF9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采购控制总价（元）</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3048D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税率</w:t>
            </w:r>
          </w:p>
        </w:tc>
      </w:tr>
      <w:tr w14:paraId="72FA0C66">
        <w:tblPrEx>
          <w:tblCellMar>
            <w:top w:w="0" w:type="dxa"/>
            <w:left w:w="108" w:type="dxa"/>
            <w:bottom w:w="0" w:type="dxa"/>
            <w:right w:w="108"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F8AA0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29EEC3EE">
            <w:pPr>
              <w:widowControl/>
              <w:jc w:val="center"/>
              <w:rPr>
                <w:rFonts w:ascii="仿宋" w:hAnsi="仿宋" w:eastAsia="仿宋" w:cs="宋体"/>
                <w:kern w:val="0"/>
                <w:sz w:val="18"/>
                <w:szCs w:val="18"/>
              </w:rPr>
            </w:pPr>
            <w:r>
              <w:rPr>
                <w:rFonts w:hint="eastAsia" w:ascii="仿宋" w:hAnsi="仿宋" w:eastAsia="仿宋" w:cs="宋体"/>
                <w:kern w:val="0"/>
                <w:sz w:val="18"/>
                <w:szCs w:val="18"/>
              </w:rPr>
              <w:t>隔离开关GN19-10/630（配CS6-1T操作机构）</w:t>
            </w:r>
          </w:p>
        </w:tc>
        <w:tc>
          <w:tcPr>
            <w:tcW w:w="0" w:type="auto"/>
            <w:tcBorders>
              <w:top w:val="nil"/>
              <w:left w:val="nil"/>
              <w:bottom w:val="single" w:color="auto" w:sz="4" w:space="0"/>
              <w:right w:val="single" w:color="auto" w:sz="4" w:space="0"/>
            </w:tcBorders>
            <w:shd w:val="clear" w:color="auto" w:fill="auto"/>
            <w:vAlign w:val="center"/>
          </w:tcPr>
          <w:p w14:paraId="387DD438">
            <w:pPr>
              <w:widowControl/>
              <w:jc w:val="center"/>
              <w:rPr>
                <w:rFonts w:ascii="仿宋" w:hAnsi="仿宋" w:eastAsia="仿宋" w:cs="宋体"/>
                <w:kern w:val="0"/>
                <w:sz w:val="18"/>
                <w:szCs w:val="18"/>
              </w:rPr>
            </w:pPr>
            <w:r>
              <w:rPr>
                <w:rFonts w:hint="eastAsia" w:ascii="仿宋" w:hAnsi="仿宋" w:eastAsia="仿宋" w:cs="宋体"/>
                <w:kern w:val="0"/>
                <w:sz w:val="18"/>
                <w:szCs w:val="18"/>
              </w:rPr>
              <w:t>GN19-10/630（配CS6-1T操作机构）</w:t>
            </w:r>
          </w:p>
        </w:tc>
        <w:tc>
          <w:tcPr>
            <w:tcW w:w="0" w:type="auto"/>
            <w:tcBorders>
              <w:top w:val="nil"/>
              <w:left w:val="nil"/>
              <w:bottom w:val="single" w:color="auto" w:sz="4" w:space="0"/>
              <w:right w:val="single" w:color="auto" w:sz="4" w:space="0"/>
            </w:tcBorders>
            <w:shd w:val="clear" w:color="auto" w:fill="auto"/>
            <w:vAlign w:val="center"/>
          </w:tcPr>
          <w:p w14:paraId="4CEB78B1">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0" w:type="auto"/>
            <w:tcBorders>
              <w:top w:val="nil"/>
              <w:left w:val="nil"/>
              <w:bottom w:val="single" w:color="auto" w:sz="4" w:space="0"/>
              <w:right w:val="single" w:color="auto" w:sz="4" w:space="0"/>
            </w:tcBorders>
            <w:shd w:val="clear" w:color="auto" w:fill="auto"/>
            <w:noWrap/>
            <w:vAlign w:val="center"/>
          </w:tcPr>
          <w:p w14:paraId="7241FC0D">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2EE70D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3349.33 </w:t>
            </w:r>
          </w:p>
        </w:tc>
        <w:tc>
          <w:tcPr>
            <w:tcW w:w="0" w:type="auto"/>
            <w:tcBorders>
              <w:top w:val="nil"/>
              <w:left w:val="nil"/>
              <w:bottom w:val="single" w:color="auto" w:sz="4" w:space="0"/>
              <w:right w:val="single" w:color="auto" w:sz="4" w:space="0"/>
            </w:tcBorders>
            <w:shd w:val="clear" w:color="auto" w:fill="auto"/>
            <w:noWrap/>
            <w:vAlign w:val="center"/>
          </w:tcPr>
          <w:p w14:paraId="53A4515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6698.66</w:t>
            </w:r>
          </w:p>
        </w:tc>
        <w:tc>
          <w:tcPr>
            <w:tcW w:w="0" w:type="auto"/>
            <w:tcBorders>
              <w:top w:val="nil"/>
              <w:left w:val="nil"/>
              <w:bottom w:val="single" w:color="auto" w:sz="4" w:space="0"/>
              <w:right w:val="single" w:color="auto" w:sz="4" w:space="0"/>
            </w:tcBorders>
            <w:shd w:val="clear" w:color="auto" w:fill="auto"/>
            <w:noWrap/>
            <w:vAlign w:val="center"/>
          </w:tcPr>
          <w:p w14:paraId="6BE7BE9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1BDA357">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EC067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14:paraId="191A61B0">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10kV开关柜 </w:t>
            </w:r>
          </w:p>
        </w:tc>
        <w:tc>
          <w:tcPr>
            <w:tcW w:w="0" w:type="auto"/>
            <w:tcBorders>
              <w:top w:val="nil"/>
              <w:left w:val="nil"/>
              <w:bottom w:val="single" w:color="auto" w:sz="4" w:space="0"/>
              <w:right w:val="single" w:color="auto" w:sz="4" w:space="0"/>
            </w:tcBorders>
            <w:shd w:val="clear" w:color="auto" w:fill="auto"/>
            <w:vAlign w:val="center"/>
          </w:tcPr>
          <w:p w14:paraId="5659721D">
            <w:pPr>
              <w:widowControl/>
              <w:jc w:val="center"/>
              <w:rPr>
                <w:rFonts w:ascii="仿宋" w:hAnsi="仿宋" w:eastAsia="仿宋" w:cs="宋体"/>
                <w:kern w:val="0"/>
                <w:sz w:val="18"/>
                <w:szCs w:val="18"/>
              </w:rPr>
            </w:pPr>
            <w:r>
              <w:rPr>
                <w:rFonts w:hint="eastAsia" w:ascii="仿宋" w:hAnsi="仿宋" w:eastAsia="仿宋" w:cs="宋体"/>
                <w:kern w:val="0"/>
                <w:sz w:val="18"/>
                <w:szCs w:val="18"/>
              </w:rPr>
              <w:t>KYN28A-12柜，计量柜</w:t>
            </w:r>
          </w:p>
        </w:tc>
        <w:tc>
          <w:tcPr>
            <w:tcW w:w="0" w:type="auto"/>
            <w:tcBorders>
              <w:top w:val="nil"/>
              <w:left w:val="nil"/>
              <w:bottom w:val="single" w:color="auto" w:sz="4" w:space="0"/>
              <w:right w:val="single" w:color="auto" w:sz="4" w:space="0"/>
            </w:tcBorders>
            <w:shd w:val="clear" w:color="auto" w:fill="auto"/>
            <w:vAlign w:val="center"/>
          </w:tcPr>
          <w:p w14:paraId="0D541AB0">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0BADD2B2">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49E1F3C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49391.33 </w:t>
            </w:r>
          </w:p>
        </w:tc>
        <w:tc>
          <w:tcPr>
            <w:tcW w:w="0" w:type="auto"/>
            <w:tcBorders>
              <w:top w:val="nil"/>
              <w:left w:val="nil"/>
              <w:bottom w:val="single" w:color="auto" w:sz="4" w:space="0"/>
              <w:right w:val="single" w:color="auto" w:sz="4" w:space="0"/>
            </w:tcBorders>
            <w:shd w:val="clear" w:color="auto" w:fill="auto"/>
            <w:noWrap/>
            <w:vAlign w:val="center"/>
          </w:tcPr>
          <w:p w14:paraId="63B7722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98782.66</w:t>
            </w:r>
          </w:p>
        </w:tc>
        <w:tc>
          <w:tcPr>
            <w:tcW w:w="0" w:type="auto"/>
            <w:tcBorders>
              <w:top w:val="nil"/>
              <w:left w:val="nil"/>
              <w:bottom w:val="single" w:color="auto" w:sz="4" w:space="0"/>
              <w:right w:val="single" w:color="auto" w:sz="4" w:space="0"/>
            </w:tcBorders>
            <w:shd w:val="clear" w:color="auto" w:fill="auto"/>
            <w:noWrap/>
            <w:vAlign w:val="center"/>
          </w:tcPr>
          <w:p w14:paraId="62D589E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3806099">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D5ACE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03510168">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10kV开关柜 </w:t>
            </w:r>
          </w:p>
        </w:tc>
        <w:tc>
          <w:tcPr>
            <w:tcW w:w="0" w:type="auto"/>
            <w:tcBorders>
              <w:top w:val="nil"/>
              <w:left w:val="nil"/>
              <w:bottom w:val="single" w:color="auto" w:sz="4" w:space="0"/>
              <w:right w:val="single" w:color="auto" w:sz="4" w:space="0"/>
            </w:tcBorders>
            <w:shd w:val="clear" w:color="auto" w:fill="auto"/>
            <w:vAlign w:val="center"/>
          </w:tcPr>
          <w:p w14:paraId="49C2F61B">
            <w:pPr>
              <w:widowControl/>
              <w:jc w:val="center"/>
              <w:rPr>
                <w:rFonts w:ascii="仿宋" w:hAnsi="仿宋" w:eastAsia="仿宋" w:cs="宋体"/>
                <w:kern w:val="0"/>
                <w:sz w:val="18"/>
                <w:szCs w:val="18"/>
              </w:rPr>
            </w:pPr>
            <w:r>
              <w:rPr>
                <w:rFonts w:hint="eastAsia" w:ascii="仿宋" w:hAnsi="仿宋" w:eastAsia="仿宋" w:cs="宋体"/>
                <w:kern w:val="0"/>
                <w:sz w:val="18"/>
                <w:szCs w:val="18"/>
              </w:rPr>
              <w:t>KYN28A-12柜，630A-25kA 进线柜</w:t>
            </w:r>
          </w:p>
        </w:tc>
        <w:tc>
          <w:tcPr>
            <w:tcW w:w="0" w:type="auto"/>
            <w:tcBorders>
              <w:top w:val="nil"/>
              <w:left w:val="nil"/>
              <w:bottom w:val="single" w:color="auto" w:sz="4" w:space="0"/>
              <w:right w:val="single" w:color="auto" w:sz="4" w:space="0"/>
            </w:tcBorders>
            <w:shd w:val="clear" w:color="auto" w:fill="auto"/>
            <w:vAlign w:val="center"/>
          </w:tcPr>
          <w:p w14:paraId="04414693">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0E6D57D2">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61C958F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48759.33 </w:t>
            </w:r>
          </w:p>
        </w:tc>
        <w:tc>
          <w:tcPr>
            <w:tcW w:w="0" w:type="auto"/>
            <w:tcBorders>
              <w:top w:val="nil"/>
              <w:left w:val="nil"/>
              <w:bottom w:val="single" w:color="auto" w:sz="4" w:space="0"/>
              <w:right w:val="single" w:color="auto" w:sz="4" w:space="0"/>
            </w:tcBorders>
            <w:shd w:val="clear" w:color="auto" w:fill="auto"/>
            <w:noWrap/>
            <w:vAlign w:val="center"/>
          </w:tcPr>
          <w:p w14:paraId="4345090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97518.66</w:t>
            </w:r>
          </w:p>
        </w:tc>
        <w:tc>
          <w:tcPr>
            <w:tcW w:w="0" w:type="auto"/>
            <w:tcBorders>
              <w:top w:val="nil"/>
              <w:left w:val="nil"/>
              <w:bottom w:val="single" w:color="auto" w:sz="4" w:space="0"/>
              <w:right w:val="single" w:color="auto" w:sz="4" w:space="0"/>
            </w:tcBorders>
            <w:shd w:val="clear" w:color="auto" w:fill="auto"/>
            <w:noWrap/>
            <w:vAlign w:val="center"/>
          </w:tcPr>
          <w:p w14:paraId="7715799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2915DF69">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B9835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vAlign w:val="center"/>
          </w:tcPr>
          <w:p w14:paraId="40D3B9F7">
            <w:pPr>
              <w:widowControl/>
              <w:jc w:val="center"/>
              <w:rPr>
                <w:rFonts w:ascii="仿宋" w:hAnsi="仿宋" w:eastAsia="仿宋" w:cs="宋体"/>
                <w:kern w:val="0"/>
                <w:sz w:val="18"/>
                <w:szCs w:val="18"/>
              </w:rPr>
            </w:pPr>
            <w:r>
              <w:rPr>
                <w:rFonts w:hint="eastAsia" w:ascii="仿宋" w:hAnsi="仿宋" w:eastAsia="仿宋" w:cs="宋体"/>
                <w:kern w:val="0"/>
                <w:sz w:val="18"/>
                <w:szCs w:val="18"/>
              </w:rPr>
              <w:t>10kV空柜</w:t>
            </w:r>
          </w:p>
        </w:tc>
        <w:tc>
          <w:tcPr>
            <w:tcW w:w="0" w:type="auto"/>
            <w:tcBorders>
              <w:top w:val="nil"/>
              <w:left w:val="nil"/>
              <w:bottom w:val="single" w:color="auto" w:sz="4" w:space="0"/>
              <w:right w:val="single" w:color="auto" w:sz="4" w:space="0"/>
            </w:tcBorders>
            <w:shd w:val="clear" w:color="auto" w:fill="auto"/>
            <w:vAlign w:val="center"/>
          </w:tcPr>
          <w:p w14:paraId="57CE7BB6">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38356E66">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1834C3F6">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tcBorders>
              <w:top w:val="nil"/>
              <w:left w:val="nil"/>
              <w:bottom w:val="single" w:color="auto" w:sz="4" w:space="0"/>
              <w:right w:val="single" w:color="auto" w:sz="4" w:space="0"/>
            </w:tcBorders>
            <w:shd w:val="clear" w:color="auto" w:fill="auto"/>
            <w:vAlign w:val="center"/>
          </w:tcPr>
          <w:p w14:paraId="0A40639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12433.00 </w:t>
            </w:r>
          </w:p>
        </w:tc>
        <w:tc>
          <w:tcPr>
            <w:tcW w:w="0" w:type="auto"/>
            <w:tcBorders>
              <w:top w:val="nil"/>
              <w:left w:val="nil"/>
              <w:bottom w:val="single" w:color="auto" w:sz="4" w:space="0"/>
              <w:right w:val="single" w:color="auto" w:sz="4" w:space="0"/>
            </w:tcBorders>
            <w:shd w:val="clear" w:color="auto" w:fill="auto"/>
            <w:noWrap/>
            <w:vAlign w:val="center"/>
          </w:tcPr>
          <w:p w14:paraId="1B30E53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12433</w:t>
            </w:r>
          </w:p>
        </w:tc>
        <w:tc>
          <w:tcPr>
            <w:tcW w:w="0" w:type="auto"/>
            <w:tcBorders>
              <w:top w:val="nil"/>
              <w:left w:val="nil"/>
              <w:bottom w:val="single" w:color="auto" w:sz="4" w:space="0"/>
              <w:right w:val="single" w:color="auto" w:sz="4" w:space="0"/>
            </w:tcBorders>
            <w:shd w:val="clear" w:color="auto" w:fill="auto"/>
            <w:noWrap/>
            <w:vAlign w:val="center"/>
          </w:tcPr>
          <w:p w14:paraId="0E2860D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7AE5192">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038BA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376966D9">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10kV开关柜 </w:t>
            </w:r>
          </w:p>
        </w:tc>
        <w:tc>
          <w:tcPr>
            <w:tcW w:w="0" w:type="auto"/>
            <w:tcBorders>
              <w:top w:val="nil"/>
              <w:left w:val="nil"/>
              <w:bottom w:val="single" w:color="auto" w:sz="4" w:space="0"/>
              <w:right w:val="single" w:color="auto" w:sz="4" w:space="0"/>
            </w:tcBorders>
            <w:shd w:val="clear" w:color="auto" w:fill="auto"/>
            <w:vAlign w:val="center"/>
          </w:tcPr>
          <w:p w14:paraId="6B7529C4">
            <w:pPr>
              <w:widowControl/>
              <w:jc w:val="center"/>
              <w:rPr>
                <w:rFonts w:ascii="仿宋" w:hAnsi="仿宋" w:eastAsia="仿宋" w:cs="宋体"/>
                <w:kern w:val="0"/>
                <w:sz w:val="18"/>
                <w:szCs w:val="18"/>
              </w:rPr>
            </w:pPr>
            <w:r>
              <w:rPr>
                <w:rFonts w:hint="eastAsia" w:ascii="仿宋" w:hAnsi="仿宋" w:eastAsia="仿宋" w:cs="宋体"/>
                <w:kern w:val="0"/>
                <w:sz w:val="18"/>
                <w:szCs w:val="18"/>
              </w:rPr>
              <w:t>KYN28A-12柜，630A-25kA 出线柜</w:t>
            </w:r>
          </w:p>
        </w:tc>
        <w:tc>
          <w:tcPr>
            <w:tcW w:w="0" w:type="auto"/>
            <w:tcBorders>
              <w:top w:val="nil"/>
              <w:left w:val="nil"/>
              <w:bottom w:val="single" w:color="auto" w:sz="4" w:space="0"/>
              <w:right w:val="single" w:color="auto" w:sz="4" w:space="0"/>
            </w:tcBorders>
            <w:shd w:val="clear" w:color="auto" w:fill="auto"/>
            <w:vAlign w:val="center"/>
          </w:tcPr>
          <w:p w14:paraId="2C9D500A">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6EDD51D5">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275E4C0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88115.67 </w:t>
            </w:r>
          </w:p>
        </w:tc>
        <w:tc>
          <w:tcPr>
            <w:tcW w:w="0" w:type="auto"/>
            <w:tcBorders>
              <w:top w:val="nil"/>
              <w:left w:val="nil"/>
              <w:bottom w:val="single" w:color="auto" w:sz="4" w:space="0"/>
              <w:right w:val="single" w:color="auto" w:sz="4" w:space="0"/>
            </w:tcBorders>
            <w:shd w:val="clear" w:color="auto" w:fill="auto"/>
            <w:noWrap/>
            <w:vAlign w:val="center"/>
          </w:tcPr>
          <w:p w14:paraId="59BD2EF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176231.34</w:t>
            </w:r>
          </w:p>
        </w:tc>
        <w:tc>
          <w:tcPr>
            <w:tcW w:w="0" w:type="auto"/>
            <w:tcBorders>
              <w:top w:val="nil"/>
              <w:left w:val="nil"/>
              <w:bottom w:val="single" w:color="auto" w:sz="4" w:space="0"/>
              <w:right w:val="single" w:color="auto" w:sz="4" w:space="0"/>
            </w:tcBorders>
            <w:shd w:val="clear" w:color="auto" w:fill="auto"/>
            <w:noWrap/>
            <w:vAlign w:val="center"/>
          </w:tcPr>
          <w:p w14:paraId="5BE6CEA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CB600F9">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5D15C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tcBorders>
              <w:top w:val="nil"/>
              <w:left w:val="nil"/>
              <w:bottom w:val="single" w:color="auto" w:sz="4" w:space="0"/>
              <w:right w:val="single" w:color="auto" w:sz="4" w:space="0"/>
            </w:tcBorders>
            <w:shd w:val="clear" w:color="auto" w:fill="auto"/>
            <w:vAlign w:val="center"/>
          </w:tcPr>
          <w:p w14:paraId="491534DE">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10kV开关柜 </w:t>
            </w:r>
          </w:p>
        </w:tc>
        <w:tc>
          <w:tcPr>
            <w:tcW w:w="0" w:type="auto"/>
            <w:tcBorders>
              <w:top w:val="nil"/>
              <w:left w:val="nil"/>
              <w:bottom w:val="single" w:color="auto" w:sz="4" w:space="0"/>
              <w:right w:val="single" w:color="auto" w:sz="4" w:space="0"/>
            </w:tcBorders>
            <w:shd w:val="clear" w:color="auto" w:fill="auto"/>
            <w:vAlign w:val="center"/>
          </w:tcPr>
          <w:p w14:paraId="158E8766">
            <w:pPr>
              <w:widowControl/>
              <w:jc w:val="center"/>
              <w:rPr>
                <w:rFonts w:ascii="仿宋" w:hAnsi="仿宋" w:eastAsia="仿宋" w:cs="宋体"/>
                <w:kern w:val="0"/>
                <w:sz w:val="18"/>
                <w:szCs w:val="18"/>
              </w:rPr>
            </w:pPr>
            <w:r>
              <w:rPr>
                <w:rFonts w:hint="eastAsia" w:ascii="仿宋" w:hAnsi="仿宋" w:eastAsia="仿宋" w:cs="宋体"/>
                <w:kern w:val="0"/>
                <w:sz w:val="18"/>
                <w:szCs w:val="18"/>
              </w:rPr>
              <w:t>KYN28A-12柜，PT及避雷器柜</w:t>
            </w:r>
          </w:p>
        </w:tc>
        <w:tc>
          <w:tcPr>
            <w:tcW w:w="0" w:type="auto"/>
            <w:tcBorders>
              <w:top w:val="nil"/>
              <w:left w:val="nil"/>
              <w:bottom w:val="single" w:color="auto" w:sz="4" w:space="0"/>
              <w:right w:val="single" w:color="auto" w:sz="4" w:space="0"/>
            </w:tcBorders>
            <w:shd w:val="clear" w:color="auto" w:fill="auto"/>
            <w:vAlign w:val="center"/>
          </w:tcPr>
          <w:p w14:paraId="5373F80E">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0E146DA6">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03D4661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85880.33 </w:t>
            </w:r>
          </w:p>
        </w:tc>
        <w:tc>
          <w:tcPr>
            <w:tcW w:w="0" w:type="auto"/>
            <w:tcBorders>
              <w:top w:val="nil"/>
              <w:left w:val="nil"/>
              <w:bottom w:val="single" w:color="auto" w:sz="4" w:space="0"/>
              <w:right w:val="single" w:color="auto" w:sz="4" w:space="0"/>
            </w:tcBorders>
            <w:shd w:val="clear" w:color="000000" w:fill="FFFFFF"/>
            <w:vAlign w:val="center"/>
          </w:tcPr>
          <w:p w14:paraId="496D943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171760.66</w:t>
            </w:r>
          </w:p>
        </w:tc>
        <w:tc>
          <w:tcPr>
            <w:tcW w:w="0" w:type="auto"/>
            <w:tcBorders>
              <w:top w:val="nil"/>
              <w:left w:val="nil"/>
              <w:bottom w:val="single" w:color="auto" w:sz="4" w:space="0"/>
              <w:right w:val="single" w:color="auto" w:sz="4" w:space="0"/>
            </w:tcBorders>
            <w:shd w:val="clear" w:color="auto" w:fill="auto"/>
            <w:noWrap/>
            <w:vAlign w:val="center"/>
          </w:tcPr>
          <w:p w14:paraId="0026F82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2B7967B1">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AAFC4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tcBorders>
              <w:top w:val="nil"/>
              <w:left w:val="nil"/>
              <w:bottom w:val="single" w:color="auto" w:sz="4" w:space="0"/>
              <w:right w:val="single" w:color="auto" w:sz="4" w:space="0"/>
            </w:tcBorders>
            <w:shd w:val="clear" w:color="auto" w:fill="auto"/>
            <w:vAlign w:val="center"/>
          </w:tcPr>
          <w:p w14:paraId="35EA97D5">
            <w:pPr>
              <w:widowControl/>
              <w:jc w:val="center"/>
              <w:rPr>
                <w:rFonts w:ascii="仿宋" w:hAnsi="仿宋" w:eastAsia="仿宋" w:cs="宋体"/>
                <w:kern w:val="0"/>
                <w:sz w:val="18"/>
                <w:szCs w:val="18"/>
              </w:rPr>
            </w:pPr>
            <w:r>
              <w:rPr>
                <w:rFonts w:hint="eastAsia" w:ascii="仿宋" w:hAnsi="仿宋" w:eastAsia="仿宋" w:cs="宋体"/>
                <w:kern w:val="0"/>
                <w:sz w:val="18"/>
                <w:szCs w:val="18"/>
              </w:rPr>
              <w:t>变压器</w:t>
            </w:r>
          </w:p>
        </w:tc>
        <w:tc>
          <w:tcPr>
            <w:tcW w:w="0" w:type="auto"/>
            <w:tcBorders>
              <w:top w:val="nil"/>
              <w:left w:val="nil"/>
              <w:bottom w:val="single" w:color="auto" w:sz="4" w:space="0"/>
              <w:right w:val="single" w:color="auto" w:sz="4" w:space="0"/>
            </w:tcBorders>
            <w:shd w:val="clear" w:color="auto" w:fill="auto"/>
            <w:vAlign w:val="center"/>
          </w:tcPr>
          <w:p w14:paraId="58EF14F2">
            <w:pPr>
              <w:widowControl/>
              <w:jc w:val="center"/>
              <w:rPr>
                <w:rFonts w:ascii="仿宋" w:hAnsi="仿宋" w:eastAsia="仿宋" w:cs="宋体"/>
                <w:kern w:val="0"/>
                <w:sz w:val="18"/>
                <w:szCs w:val="18"/>
              </w:rPr>
            </w:pPr>
            <w:r>
              <w:rPr>
                <w:rFonts w:hint="eastAsia" w:ascii="仿宋" w:hAnsi="仿宋" w:eastAsia="仿宋" w:cs="宋体"/>
                <w:kern w:val="0"/>
                <w:sz w:val="18"/>
                <w:szCs w:val="18"/>
              </w:rPr>
              <w:t>SCB14-2000KVA，10±2X2.5%/0.4kV,带外壳，D,yn11；UK%=6</w:t>
            </w:r>
          </w:p>
        </w:tc>
        <w:tc>
          <w:tcPr>
            <w:tcW w:w="0" w:type="auto"/>
            <w:tcBorders>
              <w:top w:val="nil"/>
              <w:left w:val="nil"/>
              <w:bottom w:val="single" w:color="auto" w:sz="4" w:space="0"/>
              <w:right w:val="single" w:color="auto" w:sz="4" w:space="0"/>
            </w:tcBorders>
            <w:shd w:val="clear" w:color="auto" w:fill="auto"/>
            <w:vAlign w:val="center"/>
          </w:tcPr>
          <w:p w14:paraId="6FF9B22C">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2B5C691C">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2B8A6EF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220886.67 </w:t>
            </w:r>
          </w:p>
        </w:tc>
        <w:tc>
          <w:tcPr>
            <w:tcW w:w="0" w:type="auto"/>
            <w:tcBorders>
              <w:top w:val="nil"/>
              <w:left w:val="nil"/>
              <w:bottom w:val="single" w:color="auto" w:sz="4" w:space="0"/>
              <w:right w:val="single" w:color="auto" w:sz="4" w:space="0"/>
            </w:tcBorders>
            <w:shd w:val="clear" w:color="000000" w:fill="FFFFFF"/>
            <w:vAlign w:val="center"/>
          </w:tcPr>
          <w:p w14:paraId="15A1161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441773.34</w:t>
            </w:r>
          </w:p>
        </w:tc>
        <w:tc>
          <w:tcPr>
            <w:tcW w:w="0" w:type="auto"/>
            <w:tcBorders>
              <w:top w:val="nil"/>
              <w:left w:val="nil"/>
              <w:bottom w:val="single" w:color="auto" w:sz="4" w:space="0"/>
              <w:right w:val="single" w:color="auto" w:sz="4" w:space="0"/>
            </w:tcBorders>
            <w:shd w:val="clear" w:color="auto" w:fill="auto"/>
            <w:noWrap/>
            <w:vAlign w:val="center"/>
          </w:tcPr>
          <w:p w14:paraId="62D176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403A6BA">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27DB0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tcBorders>
              <w:top w:val="nil"/>
              <w:left w:val="nil"/>
              <w:bottom w:val="single" w:color="auto" w:sz="4" w:space="0"/>
              <w:right w:val="single" w:color="auto" w:sz="4" w:space="0"/>
            </w:tcBorders>
            <w:shd w:val="clear" w:color="auto" w:fill="auto"/>
            <w:vAlign w:val="center"/>
          </w:tcPr>
          <w:p w14:paraId="3B4F2F35">
            <w:pPr>
              <w:widowControl/>
              <w:jc w:val="center"/>
              <w:rPr>
                <w:rFonts w:ascii="仿宋" w:hAnsi="仿宋" w:eastAsia="仿宋" w:cs="宋体"/>
                <w:kern w:val="0"/>
                <w:sz w:val="18"/>
                <w:szCs w:val="18"/>
              </w:rPr>
            </w:pPr>
            <w:r>
              <w:rPr>
                <w:rFonts w:hint="eastAsia" w:ascii="仿宋" w:hAnsi="仿宋" w:eastAsia="仿宋" w:cs="宋体"/>
                <w:kern w:val="0"/>
                <w:sz w:val="18"/>
                <w:szCs w:val="18"/>
              </w:rPr>
              <w:t>低压柜进线柜</w:t>
            </w:r>
          </w:p>
        </w:tc>
        <w:tc>
          <w:tcPr>
            <w:tcW w:w="0" w:type="auto"/>
            <w:tcBorders>
              <w:top w:val="nil"/>
              <w:left w:val="nil"/>
              <w:bottom w:val="single" w:color="auto" w:sz="4" w:space="0"/>
              <w:right w:val="single" w:color="auto" w:sz="4" w:space="0"/>
            </w:tcBorders>
            <w:shd w:val="clear" w:color="auto" w:fill="auto"/>
            <w:vAlign w:val="center"/>
          </w:tcPr>
          <w:p w14:paraId="46576AD5">
            <w:pPr>
              <w:widowControl/>
              <w:jc w:val="center"/>
              <w:rPr>
                <w:rFonts w:ascii="仿宋" w:hAnsi="仿宋" w:eastAsia="仿宋" w:cs="宋体"/>
                <w:kern w:val="0"/>
                <w:sz w:val="18"/>
                <w:szCs w:val="18"/>
              </w:rPr>
            </w:pPr>
            <w:r>
              <w:rPr>
                <w:rFonts w:hint="eastAsia" w:ascii="仿宋" w:hAnsi="仿宋" w:eastAsia="仿宋" w:cs="宋体"/>
                <w:kern w:val="0"/>
                <w:sz w:val="18"/>
                <w:szCs w:val="18"/>
              </w:rPr>
              <w:t>（内含4000A断路器）</w:t>
            </w:r>
          </w:p>
        </w:tc>
        <w:tc>
          <w:tcPr>
            <w:tcW w:w="0" w:type="auto"/>
            <w:tcBorders>
              <w:top w:val="nil"/>
              <w:left w:val="nil"/>
              <w:bottom w:val="single" w:color="auto" w:sz="4" w:space="0"/>
              <w:right w:val="single" w:color="auto" w:sz="4" w:space="0"/>
            </w:tcBorders>
            <w:shd w:val="clear" w:color="auto" w:fill="auto"/>
            <w:vAlign w:val="center"/>
          </w:tcPr>
          <w:p w14:paraId="7D9B4883">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34109349">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1A6A562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37596.33 </w:t>
            </w:r>
          </w:p>
        </w:tc>
        <w:tc>
          <w:tcPr>
            <w:tcW w:w="0" w:type="auto"/>
            <w:tcBorders>
              <w:top w:val="nil"/>
              <w:left w:val="nil"/>
              <w:bottom w:val="single" w:color="auto" w:sz="4" w:space="0"/>
              <w:right w:val="single" w:color="auto" w:sz="4" w:space="0"/>
            </w:tcBorders>
            <w:shd w:val="clear" w:color="000000" w:fill="FFFFFF"/>
            <w:vAlign w:val="center"/>
          </w:tcPr>
          <w:p w14:paraId="09F5BC9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75192.66</w:t>
            </w:r>
          </w:p>
        </w:tc>
        <w:tc>
          <w:tcPr>
            <w:tcW w:w="0" w:type="auto"/>
            <w:tcBorders>
              <w:top w:val="nil"/>
              <w:left w:val="nil"/>
              <w:bottom w:val="single" w:color="auto" w:sz="4" w:space="0"/>
              <w:right w:val="single" w:color="auto" w:sz="4" w:space="0"/>
            </w:tcBorders>
            <w:shd w:val="clear" w:color="auto" w:fill="auto"/>
            <w:noWrap/>
            <w:vAlign w:val="center"/>
          </w:tcPr>
          <w:p w14:paraId="486CC86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FCCD550">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5AF1B0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0" w:type="auto"/>
            <w:tcBorders>
              <w:top w:val="nil"/>
              <w:left w:val="nil"/>
              <w:bottom w:val="single" w:color="auto" w:sz="4" w:space="0"/>
              <w:right w:val="single" w:color="auto" w:sz="4" w:space="0"/>
            </w:tcBorders>
            <w:shd w:val="clear" w:color="auto" w:fill="auto"/>
            <w:vAlign w:val="center"/>
          </w:tcPr>
          <w:p w14:paraId="43805D9C">
            <w:pPr>
              <w:widowControl/>
              <w:jc w:val="center"/>
              <w:rPr>
                <w:rFonts w:ascii="仿宋" w:hAnsi="仿宋" w:eastAsia="仿宋" w:cs="宋体"/>
                <w:kern w:val="0"/>
                <w:sz w:val="18"/>
                <w:szCs w:val="18"/>
              </w:rPr>
            </w:pPr>
            <w:r>
              <w:rPr>
                <w:rFonts w:hint="eastAsia" w:ascii="仿宋" w:hAnsi="仿宋" w:eastAsia="仿宋" w:cs="宋体"/>
                <w:kern w:val="0"/>
                <w:sz w:val="18"/>
                <w:szCs w:val="18"/>
              </w:rPr>
              <w:t>低压柜电容器柜</w:t>
            </w:r>
          </w:p>
        </w:tc>
        <w:tc>
          <w:tcPr>
            <w:tcW w:w="0" w:type="auto"/>
            <w:tcBorders>
              <w:top w:val="nil"/>
              <w:left w:val="nil"/>
              <w:bottom w:val="single" w:color="auto" w:sz="4" w:space="0"/>
              <w:right w:val="single" w:color="auto" w:sz="4" w:space="0"/>
            </w:tcBorders>
            <w:shd w:val="clear" w:color="auto" w:fill="auto"/>
            <w:vAlign w:val="center"/>
          </w:tcPr>
          <w:p w14:paraId="3FC5AF3B">
            <w:pPr>
              <w:widowControl/>
              <w:jc w:val="center"/>
              <w:rPr>
                <w:rFonts w:ascii="仿宋" w:hAnsi="仿宋" w:eastAsia="仿宋" w:cs="宋体"/>
                <w:kern w:val="0"/>
                <w:sz w:val="18"/>
                <w:szCs w:val="18"/>
              </w:rPr>
            </w:pPr>
            <w:r>
              <w:rPr>
                <w:rFonts w:hint="eastAsia" w:ascii="仿宋" w:hAnsi="仿宋" w:eastAsia="仿宋" w:cs="宋体"/>
                <w:kern w:val="0"/>
                <w:sz w:val="18"/>
                <w:szCs w:val="18"/>
              </w:rPr>
              <w:t>（容量300kvar）</w:t>
            </w:r>
          </w:p>
        </w:tc>
        <w:tc>
          <w:tcPr>
            <w:tcW w:w="0" w:type="auto"/>
            <w:tcBorders>
              <w:top w:val="nil"/>
              <w:left w:val="nil"/>
              <w:bottom w:val="single" w:color="auto" w:sz="4" w:space="0"/>
              <w:right w:val="single" w:color="auto" w:sz="4" w:space="0"/>
            </w:tcBorders>
            <w:shd w:val="clear" w:color="auto" w:fill="auto"/>
            <w:vAlign w:val="center"/>
          </w:tcPr>
          <w:p w14:paraId="1226581B">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12AE3940">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0" w:type="auto"/>
            <w:tcBorders>
              <w:top w:val="nil"/>
              <w:left w:val="nil"/>
              <w:bottom w:val="single" w:color="auto" w:sz="4" w:space="0"/>
              <w:right w:val="single" w:color="auto" w:sz="4" w:space="0"/>
            </w:tcBorders>
            <w:shd w:val="clear" w:color="auto" w:fill="auto"/>
            <w:vAlign w:val="center"/>
          </w:tcPr>
          <w:p w14:paraId="1A36508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45125.00 </w:t>
            </w:r>
          </w:p>
        </w:tc>
        <w:tc>
          <w:tcPr>
            <w:tcW w:w="0" w:type="auto"/>
            <w:tcBorders>
              <w:top w:val="nil"/>
              <w:left w:val="nil"/>
              <w:bottom w:val="single" w:color="auto" w:sz="4" w:space="0"/>
              <w:right w:val="single" w:color="auto" w:sz="4" w:space="0"/>
            </w:tcBorders>
            <w:shd w:val="clear" w:color="000000" w:fill="FFFFFF"/>
            <w:vAlign w:val="center"/>
          </w:tcPr>
          <w:p w14:paraId="589FFB6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180500</w:t>
            </w:r>
          </w:p>
        </w:tc>
        <w:tc>
          <w:tcPr>
            <w:tcW w:w="0" w:type="auto"/>
            <w:tcBorders>
              <w:top w:val="nil"/>
              <w:left w:val="nil"/>
              <w:bottom w:val="single" w:color="auto" w:sz="4" w:space="0"/>
              <w:right w:val="single" w:color="auto" w:sz="4" w:space="0"/>
            </w:tcBorders>
            <w:shd w:val="clear" w:color="auto" w:fill="auto"/>
            <w:noWrap/>
            <w:vAlign w:val="center"/>
          </w:tcPr>
          <w:p w14:paraId="08660D3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7CC7F78E">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D09CE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14:paraId="7CB7F72F">
            <w:pPr>
              <w:widowControl/>
              <w:jc w:val="center"/>
              <w:rPr>
                <w:rFonts w:ascii="仿宋" w:hAnsi="仿宋" w:eastAsia="仿宋" w:cs="宋体"/>
                <w:kern w:val="0"/>
                <w:sz w:val="18"/>
                <w:szCs w:val="18"/>
              </w:rPr>
            </w:pPr>
            <w:r>
              <w:rPr>
                <w:rFonts w:hint="eastAsia" w:ascii="仿宋" w:hAnsi="仿宋" w:eastAsia="仿宋" w:cs="宋体"/>
                <w:kern w:val="0"/>
                <w:sz w:val="18"/>
                <w:szCs w:val="18"/>
              </w:rPr>
              <w:t>低压出线柜</w:t>
            </w:r>
          </w:p>
        </w:tc>
        <w:tc>
          <w:tcPr>
            <w:tcW w:w="0" w:type="auto"/>
            <w:tcBorders>
              <w:top w:val="nil"/>
              <w:left w:val="nil"/>
              <w:bottom w:val="single" w:color="auto" w:sz="4" w:space="0"/>
              <w:right w:val="single" w:color="auto" w:sz="4" w:space="0"/>
            </w:tcBorders>
            <w:shd w:val="clear" w:color="auto" w:fill="auto"/>
            <w:vAlign w:val="center"/>
          </w:tcPr>
          <w:p w14:paraId="5D1D65C6">
            <w:pPr>
              <w:widowControl/>
              <w:jc w:val="center"/>
              <w:rPr>
                <w:rFonts w:ascii="仿宋" w:hAnsi="仿宋" w:eastAsia="仿宋" w:cs="宋体"/>
                <w:kern w:val="0"/>
                <w:sz w:val="18"/>
                <w:szCs w:val="18"/>
              </w:rPr>
            </w:pPr>
            <w:r>
              <w:rPr>
                <w:rFonts w:hint="eastAsia" w:ascii="仿宋" w:hAnsi="仿宋" w:eastAsia="仿宋" w:cs="宋体"/>
                <w:kern w:val="0"/>
                <w:sz w:val="18"/>
                <w:szCs w:val="18"/>
              </w:rPr>
              <w:t>（柜内断路器：4*500A+1*250A）</w:t>
            </w:r>
          </w:p>
        </w:tc>
        <w:tc>
          <w:tcPr>
            <w:tcW w:w="0" w:type="auto"/>
            <w:tcBorders>
              <w:top w:val="nil"/>
              <w:left w:val="nil"/>
              <w:bottom w:val="single" w:color="auto" w:sz="4" w:space="0"/>
              <w:right w:val="single" w:color="auto" w:sz="4" w:space="0"/>
            </w:tcBorders>
            <w:shd w:val="clear" w:color="auto" w:fill="auto"/>
            <w:vAlign w:val="center"/>
          </w:tcPr>
          <w:p w14:paraId="2FAB3579">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350A9A53">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0" w:type="auto"/>
            <w:tcBorders>
              <w:top w:val="nil"/>
              <w:left w:val="nil"/>
              <w:bottom w:val="single" w:color="auto" w:sz="4" w:space="0"/>
              <w:right w:val="single" w:color="auto" w:sz="4" w:space="0"/>
            </w:tcBorders>
            <w:shd w:val="clear" w:color="auto" w:fill="auto"/>
            <w:vAlign w:val="center"/>
          </w:tcPr>
          <w:p w14:paraId="5489C96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32807.33 </w:t>
            </w:r>
          </w:p>
        </w:tc>
        <w:tc>
          <w:tcPr>
            <w:tcW w:w="0" w:type="auto"/>
            <w:tcBorders>
              <w:top w:val="nil"/>
              <w:left w:val="nil"/>
              <w:bottom w:val="single" w:color="auto" w:sz="4" w:space="0"/>
              <w:right w:val="single" w:color="auto" w:sz="4" w:space="0"/>
            </w:tcBorders>
            <w:shd w:val="clear" w:color="000000" w:fill="FFFFFF"/>
            <w:vAlign w:val="center"/>
          </w:tcPr>
          <w:p w14:paraId="46BCA8E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131229.32</w:t>
            </w:r>
          </w:p>
        </w:tc>
        <w:tc>
          <w:tcPr>
            <w:tcW w:w="0" w:type="auto"/>
            <w:tcBorders>
              <w:top w:val="nil"/>
              <w:left w:val="nil"/>
              <w:bottom w:val="single" w:color="auto" w:sz="4" w:space="0"/>
              <w:right w:val="single" w:color="auto" w:sz="4" w:space="0"/>
            </w:tcBorders>
            <w:shd w:val="clear" w:color="auto" w:fill="auto"/>
            <w:noWrap/>
            <w:vAlign w:val="center"/>
          </w:tcPr>
          <w:p w14:paraId="1031A3E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FD33331">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94386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0" w:type="auto"/>
            <w:tcBorders>
              <w:top w:val="nil"/>
              <w:left w:val="nil"/>
              <w:bottom w:val="single" w:color="auto" w:sz="4" w:space="0"/>
              <w:right w:val="single" w:color="auto" w:sz="4" w:space="0"/>
            </w:tcBorders>
            <w:shd w:val="clear" w:color="auto" w:fill="auto"/>
            <w:vAlign w:val="center"/>
          </w:tcPr>
          <w:p w14:paraId="358036FE">
            <w:pPr>
              <w:widowControl/>
              <w:jc w:val="center"/>
              <w:rPr>
                <w:rFonts w:ascii="仿宋" w:hAnsi="仿宋" w:eastAsia="仿宋" w:cs="宋体"/>
                <w:kern w:val="0"/>
                <w:sz w:val="18"/>
                <w:szCs w:val="18"/>
              </w:rPr>
            </w:pPr>
            <w:r>
              <w:rPr>
                <w:rFonts w:hint="eastAsia" w:ascii="仿宋" w:hAnsi="仿宋" w:eastAsia="仿宋" w:cs="宋体"/>
                <w:kern w:val="0"/>
                <w:sz w:val="18"/>
                <w:szCs w:val="18"/>
              </w:rPr>
              <w:t>低压出线柜</w:t>
            </w:r>
          </w:p>
        </w:tc>
        <w:tc>
          <w:tcPr>
            <w:tcW w:w="0" w:type="auto"/>
            <w:tcBorders>
              <w:top w:val="nil"/>
              <w:left w:val="nil"/>
              <w:bottom w:val="single" w:color="auto" w:sz="4" w:space="0"/>
              <w:right w:val="single" w:color="auto" w:sz="4" w:space="0"/>
            </w:tcBorders>
            <w:shd w:val="clear" w:color="auto" w:fill="auto"/>
            <w:vAlign w:val="center"/>
          </w:tcPr>
          <w:p w14:paraId="54950AE2">
            <w:pPr>
              <w:widowControl/>
              <w:jc w:val="center"/>
              <w:rPr>
                <w:rFonts w:ascii="仿宋" w:hAnsi="仿宋" w:eastAsia="仿宋" w:cs="宋体"/>
                <w:kern w:val="0"/>
                <w:sz w:val="18"/>
                <w:szCs w:val="18"/>
              </w:rPr>
            </w:pPr>
            <w:r>
              <w:rPr>
                <w:rFonts w:hint="eastAsia" w:ascii="仿宋" w:hAnsi="仿宋" w:eastAsia="仿宋" w:cs="宋体"/>
                <w:kern w:val="0"/>
                <w:sz w:val="18"/>
                <w:szCs w:val="18"/>
              </w:rPr>
              <w:t>（柜内断路器：2*500A+5*250A）</w:t>
            </w:r>
          </w:p>
        </w:tc>
        <w:tc>
          <w:tcPr>
            <w:tcW w:w="0" w:type="auto"/>
            <w:tcBorders>
              <w:top w:val="nil"/>
              <w:left w:val="nil"/>
              <w:bottom w:val="single" w:color="auto" w:sz="4" w:space="0"/>
              <w:right w:val="single" w:color="auto" w:sz="4" w:space="0"/>
            </w:tcBorders>
            <w:shd w:val="clear" w:color="auto" w:fill="auto"/>
            <w:vAlign w:val="center"/>
          </w:tcPr>
          <w:p w14:paraId="0EABC5E5">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3591E847">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774009A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33949.67 </w:t>
            </w:r>
          </w:p>
        </w:tc>
        <w:tc>
          <w:tcPr>
            <w:tcW w:w="0" w:type="auto"/>
            <w:tcBorders>
              <w:top w:val="nil"/>
              <w:left w:val="nil"/>
              <w:bottom w:val="single" w:color="auto" w:sz="4" w:space="0"/>
              <w:right w:val="single" w:color="auto" w:sz="4" w:space="0"/>
            </w:tcBorders>
            <w:shd w:val="clear" w:color="000000" w:fill="FFFFFF"/>
            <w:vAlign w:val="center"/>
          </w:tcPr>
          <w:p w14:paraId="6C6DCBA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67899.34</w:t>
            </w:r>
          </w:p>
        </w:tc>
        <w:tc>
          <w:tcPr>
            <w:tcW w:w="0" w:type="auto"/>
            <w:tcBorders>
              <w:top w:val="nil"/>
              <w:left w:val="nil"/>
              <w:bottom w:val="single" w:color="auto" w:sz="4" w:space="0"/>
              <w:right w:val="single" w:color="auto" w:sz="4" w:space="0"/>
            </w:tcBorders>
            <w:shd w:val="clear" w:color="auto" w:fill="auto"/>
            <w:noWrap/>
            <w:vAlign w:val="center"/>
          </w:tcPr>
          <w:p w14:paraId="642B386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09CD9FC">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886C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0" w:type="auto"/>
            <w:tcBorders>
              <w:top w:val="nil"/>
              <w:left w:val="nil"/>
              <w:bottom w:val="single" w:color="auto" w:sz="4" w:space="0"/>
              <w:right w:val="single" w:color="auto" w:sz="4" w:space="0"/>
            </w:tcBorders>
            <w:shd w:val="clear" w:color="auto" w:fill="auto"/>
            <w:vAlign w:val="center"/>
          </w:tcPr>
          <w:p w14:paraId="5EDBBF28">
            <w:pPr>
              <w:widowControl/>
              <w:jc w:val="center"/>
              <w:rPr>
                <w:rFonts w:ascii="仿宋" w:hAnsi="仿宋" w:eastAsia="仿宋" w:cs="宋体"/>
                <w:kern w:val="0"/>
                <w:sz w:val="18"/>
                <w:szCs w:val="18"/>
              </w:rPr>
            </w:pPr>
            <w:r>
              <w:rPr>
                <w:rFonts w:hint="eastAsia" w:ascii="仿宋" w:hAnsi="仿宋" w:eastAsia="仿宋" w:cs="宋体"/>
                <w:kern w:val="0"/>
                <w:sz w:val="18"/>
                <w:szCs w:val="18"/>
              </w:rPr>
              <w:t>低压出线柜</w:t>
            </w:r>
          </w:p>
        </w:tc>
        <w:tc>
          <w:tcPr>
            <w:tcW w:w="0" w:type="auto"/>
            <w:tcBorders>
              <w:top w:val="nil"/>
              <w:left w:val="nil"/>
              <w:bottom w:val="single" w:color="auto" w:sz="4" w:space="0"/>
              <w:right w:val="single" w:color="auto" w:sz="4" w:space="0"/>
            </w:tcBorders>
            <w:shd w:val="clear" w:color="auto" w:fill="auto"/>
            <w:vAlign w:val="center"/>
          </w:tcPr>
          <w:p w14:paraId="0E8B1F44">
            <w:pPr>
              <w:widowControl/>
              <w:jc w:val="center"/>
              <w:rPr>
                <w:rFonts w:ascii="仿宋" w:hAnsi="仿宋" w:eastAsia="仿宋" w:cs="宋体"/>
                <w:kern w:val="0"/>
                <w:sz w:val="18"/>
                <w:szCs w:val="18"/>
              </w:rPr>
            </w:pPr>
            <w:r>
              <w:rPr>
                <w:rFonts w:hint="eastAsia" w:ascii="仿宋" w:hAnsi="仿宋" w:eastAsia="仿宋" w:cs="宋体"/>
                <w:kern w:val="0"/>
                <w:sz w:val="18"/>
                <w:szCs w:val="18"/>
              </w:rPr>
              <w:t>（柜内断路器：2*800A）</w:t>
            </w:r>
          </w:p>
        </w:tc>
        <w:tc>
          <w:tcPr>
            <w:tcW w:w="0" w:type="auto"/>
            <w:tcBorders>
              <w:top w:val="nil"/>
              <w:left w:val="nil"/>
              <w:bottom w:val="single" w:color="auto" w:sz="4" w:space="0"/>
              <w:right w:val="single" w:color="auto" w:sz="4" w:space="0"/>
            </w:tcBorders>
            <w:shd w:val="clear" w:color="auto" w:fill="auto"/>
            <w:vAlign w:val="center"/>
          </w:tcPr>
          <w:p w14:paraId="14925CF7">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11B567BA">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24E2FFD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29772.67 </w:t>
            </w:r>
          </w:p>
        </w:tc>
        <w:tc>
          <w:tcPr>
            <w:tcW w:w="0" w:type="auto"/>
            <w:tcBorders>
              <w:top w:val="nil"/>
              <w:left w:val="nil"/>
              <w:bottom w:val="single" w:color="auto" w:sz="4" w:space="0"/>
              <w:right w:val="single" w:color="auto" w:sz="4" w:space="0"/>
            </w:tcBorders>
            <w:shd w:val="clear" w:color="000000" w:fill="FFFFFF"/>
            <w:vAlign w:val="center"/>
          </w:tcPr>
          <w:p w14:paraId="062EB37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59545.34</w:t>
            </w:r>
          </w:p>
        </w:tc>
        <w:tc>
          <w:tcPr>
            <w:tcW w:w="0" w:type="auto"/>
            <w:tcBorders>
              <w:top w:val="nil"/>
              <w:left w:val="nil"/>
              <w:bottom w:val="single" w:color="auto" w:sz="4" w:space="0"/>
              <w:right w:val="single" w:color="auto" w:sz="4" w:space="0"/>
            </w:tcBorders>
            <w:shd w:val="clear" w:color="auto" w:fill="auto"/>
            <w:noWrap/>
            <w:vAlign w:val="center"/>
          </w:tcPr>
          <w:p w14:paraId="7A9E700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7E17384E">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5E763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0" w:type="auto"/>
            <w:tcBorders>
              <w:top w:val="nil"/>
              <w:left w:val="nil"/>
              <w:bottom w:val="single" w:color="auto" w:sz="4" w:space="0"/>
              <w:right w:val="single" w:color="auto" w:sz="4" w:space="0"/>
            </w:tcBorders>
            <w:shd w:val="clear" w:color="auto" w:fill="auto"/>
            <w:vAlign w:val="center"/>
          </w:tcPr>
          <w:p w14:paraId="485641B5">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72F01820">
            <w:pPr>
              <w:widowControl/>
              <w:jc w:val="center"/>
              <w:rPr>
                <w:rFonts w:ascii="仿宋" w:hAnsi="仿宋" w:eastAsia="仿宋" w:cs="宋体"/>
                <w:kern w:val="0"/>
                <w:sz w:val="18"/>
                <w:szCs w:val="18"/>
              </w:rPr>
            </w:pPr>
            <w:r>
              <w:rPr>
                <w:rFonts w:hint="eastAsia" w:ascii="仿宋" w:hAnsi="仿宋" w:eastAsia="仿宋" w:cs="宋体"/>
                <w:kern w:val="0"/>
                <w:sz w:val="18"/>
                <w:szCs w:val="18"/>
              </w:rPr>
              <w:t>型号:1000*200</w:t>
            </w:r>
          </w:p>
        </w:tc>
        <w:tc>
          <w:tcPr>
            <w:tcW w:w="0" w:type="auto"/>
            <w:tcBorders>
              <w:top w:val="nil"/>
              <w:left w:val="nil"/>
              <w:bottom w:val="single" w:color="auto" w:sz="4" w:space="0"/>
              <w:right w:val="single" w:color="auto" w:sz="4" w:space="0"/>
            </w:tcBorders>
            <w:shd w:val="clear" w:color="auto" w:fill="auto"/>
            <w:vAlign w:val="center"/>
          </w:tcPr>
          <w:p w14:paraId="550F7D21">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76CE8409">
            <w:pPr>
              <w:widowControl/>
              <w:jc w:val="center"/>
              <w:rPr>
                <w:rFonts w:ascii="仿宋" w:hAnsi="仿宋" w:eastAsia="仿宋" w:cs="宋体"/>
                <w:kern w:val="0"/>
                <w:sz w:val="18"/>
                <w:szCs w:val="18"/>
              </w:rPr>
            </w:pPr>
            <w:r>
              <w:rPr>
                <w:rFonts w:hint="eastAsia" w:ascii="仿宋" w:hAnsi="仿宋" w:eastAsia="仿宋" w:cs="宋体"/>
                <w:kern w:val="0"/>
                <w:sz w:val="18"/>
                <w:szCs w:val="18"/>
              </w:rPr>
              <w:t>20.00</w:t>
            </w:r>
          </w:p>
        </w:tc>
        <w:tc>
          <w:tcPr>
            <w:tcW w:w="0" w:type="auto"/>
            <w:tcBorders>
              <w:top w:val="nil"/>
              <w:left w:val="nil"/>
              <w:bottom w:val="single" w:color="auto" w:sz="4" w:space="0"/>
              <w:right w:val="single" w:color="auto" w:sz="4" w:space="0"/>
            </w:tcBorders>
            <w:shd w:val="clear" w:color="auto" w:fill="auto"/>
            <w:vAlign w:val="center"/>
          </w:tcPr>
          <w:p w14:paraId="1A8E879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645.00 </w:t>
            </w:r>
          </w:p>
        </w:tc>
        <w:tc>
          <w:tcPr>
            <w:tcW w:w="0" w:type="auto"/>
            <w:tcBorders>
              <w:top w:val="nil"/>
              <w:left w:val="nil"/>
              <w:bottom w:val="single" w:color="auto" w:sz="4" w:space="0"/>
              <w:right w:val="single" w:color="auto" w:sz="4" w:space="0"/>
            </w:tcBorders>
            <w:shd w:val="clear" w:color="000000" w:fill="FFFFFF"/>
            <w:vAlign w:val="center"/>
          </w:tcPr>
          <w:p w14:paraId="5FF3157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12900</w:t>
            </w:r>
          </w:p>
        </w:tc>
        <w:tc>
          <w:tcPr>
            <w:tcW w:w="0" w:type="auto"/>
            <w:tcBorders>
              <w:top w:val="nil"/>
              <w:left w:val="nil"/>
              <w:bottom w:val="single" w:color="auto" w:sz="4" w:space="0"/>
              <w:right w:val="single" w:color="auto" w:sz="4" w:space="0"/>
            </w:tcBorders>
            <w:shd w:val="clear" w:color="auto" w:fill="auto"/>
            <w:noWrap/>
            <w:vAlign w:val="center"/>
          </w:tcPr>
          <w:p w14:paraId="0C5266C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0FFEB06F">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6176E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0" w:type="auto"/>
            <w:tcBorders>
              <w:top w:val="nil"/>
              <w:left w:val="nil"/>
              <w:bottom w:val="single" w:color="auto" w:sz="4" w:space="0"/>
              <w:right w:val="single" w:color="auto" w:sz="4" w:space="0"/>
            </w:tcBorders>
            <w:shd w:val="clear" w:color="auto" w:fill="auto"/>
            <w:vAlign w:val="center"/>
          </w:tcPr>
          <w:p w14:paraId="3A8ED999">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1A00921C">
            <w:pPr>
              <w:widowControl/>
              <w:jc w:val="center"/>
              <w:rPr>
                <w:rFonts w:ascii="仿宋" w:hAnsi="仿宋" w:eastAsia="仿宋" w:cs="宋体"/>
                <w:kern w:val="0"/>
                <w:sz w:val="18"/>
                <w:szCs w:val="18"/>
              </w:rPr>
            </w:pPr>
            <w:r>
              <w:rPr>
                <w:rFonts w:hint="eastAsia" w:ascii="仿宋" w:hAnsi="仿宋" w:eastAsia="仿宋" w:cs="宋体"/>
                <w:kern w:val="0"/>
                <w:sz w:val="18"/>
                <w:szCs w:val="18"/>
              </w:rPr>
              <w:t>型号:600*200</w:t>
            </w:r>
          </w:p>
        </w:tc>
        <w:tc>
          <w:tcPr>
            <w:tcW w:w="0" w:type="auto"/>
            <w:tcBorders>
              <w:top w:val="nil"/>
              <w:left w:val="nil"/>
              <w:bottom w:val="single" w:color="auto" w:sz="4" w:space="0"/>
              <w:right w:val="single" w:color="auto" w:sz="4" w:space="0"/>
            </w:tcBorders>
            <w:shd w:val="clear" w:color="auto" w:fill="auto"/>
            <w:vAlign w:val="center"/>
          </w:tcPr>
          <w:p w14:paraId="122FD042">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1F3C5478">
            <w:pPr>
              <w:widowControl/>
              <w:jc w:val="center"/>
              <w:rPr>
                <w:rFonts w:ascii="仿宋" w:hAnsi="仿宋" w:eastAsia="仿宋" w:cs="宋体"/>
                <w:kern w:val="0"/>
                <w:sz w:val="18"/>
                <w:szCs w:val="18"/>
              </w:rPr>
            </w:pPr>
            <w:r>
              <w:rPr>
                <w:rFonts w:hint="eastAsia" w:ascii="仿宋" w:hAnsi="仿宋" w:eastAsia="仿宋" w:cs="宋体"/>
                <w:kern w:val="0"/>
                <w:sz w:val="18"/>
                <w:szCs w:val="18"/>
              </w:rPr>
              <w:t>10.00</w:t>
            </w:r>
          </w:p>
        </w:tc>
        <w:tc>
          <w:tcPr>
            <w:tcW w:w="0" w:type="auto"/>
            <w:tcBorders>
              <w:top w:val="nil"/>
              <w:left w:val="nil"/>
              <w:bottom w:val="single" w:color="auto" w:sz="4" w:space="0"/>
              <w:right w:val="single" w:color="auto" w:sz="4" w:space="0"/>
            </w:tcBorders>
            <w:shd w:val="clear" w:color="auto" w:fill="auto"/>
            <w:vAlign w:val="center"/>
          </w:tcPr>
          <w:p w14:paraId="04C3B21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230.00 </w:t>
            </w:r>
          </w:p>
        </w:tc>
        <w:tc>
          <w:tcPr>
            <w:tcW w:w="0" w:type="auto"/>
            <w:tcBorders>
              <w:top w:val="nil"/>
              <w:left w:val="nil"/>
              <w:bottom w:val="single" w:color="auto" w:sz="4" w:space="0"/>
              <w:right w:val="single" w:color="auto" w:sz="4" w:space="0"/>
            </w:tcBorders>
            <w:shd w:val="clear" w:color="000000" w:fill="FFFFFF"/>
            <w:vAlign w:val="center"/>
          </w:tcPr>
          <w:p w14:paraId="1252AE5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2300</w:t>
            </w:r>
          </w:p>
        </w:tc>
        <w:tc>
          <w:tcPr>
            <w:tcW w:w="0" w:type="auto"/>
            <w:tcBorders>
              <w:top w:val="nil"/>
              <w:left w:val="nil"/>
              <w:bottom w:val="single" w:color="auto" w:sz="4" w:space="0"/>
              <w:right w:val="single" w:color="auto" w:sz="4" w:space="0"/>
            </w:tcBorders>
            <w:shd w:val="clear" w:color="auto" w:fill="auto"/>
            <w:noWrap/>
            <w:vAlign w:val="center"/>
          </w:tcPr>
          <w:p w14:paraId="3F41D9F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D0DC805">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6C98A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0" w:type="auto"/>
            <w:tcBorders>
              <w:top w:val="nil"/>
              <w:left w:val="nil"/>
              <w:bottom w:val="single" w:color="auto" w:sz="4" w:space="0"/>
              <w:right w:val="single" w:color="auto" w:sz="4" w:space="0"/>
            </w:tcBorders>
            <w:shd w:val="clear" w:color="auto" w:fill="auto"/>
            <w:vAlign w:val="center"/>
          </w:tcPr>
          <w:p w14:paraId="21550713">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6E935890">
            <w:pPr>
              <w:widowControl/>
              <w:jc w:val="center"/>
              <w:rPr>
                <w:rFonts w:ascii="仿宋" w:hAnsi="仿宋" w:eastAsia="仿宋" w:cs="宋体"/>
                <w:kern w:val="0"/>
                <w:sz w:val="18"/>
                <w:szCs w:val="18"/>
              </w:rPr>
            </w:pPr>
            <w:r>
              <w:rPr>
                <w:rFonts w:hint="eastAsia" w:ascii="仿宋" w:hAnsi="仿宋" w:eastAsia="仿宋" w:cs="宋体"/>
                <w:kern w:val="0"/>
                <w:sz w:val="18"/>
                <w:szCs w:val="18"/>
              </w:rPr>
              <w:t>型号:200*100</w:t>
            </w:r>
          </w:p>
        </w:tc>
        <w:tc>
          <w:tcPr>
            <w:tcW w:w="0" w:type="auto"/>
            <w:tcBorders>
              <w:top w:val="nil"/>
              <w:left w:val="nil"/>
              <w:bottom w:val="single" w:color="auto" w:sz="4" w:space="0"/>
              <w:right w:val="single" w:color="auto" w:sz="4" w:space="0"/>
            </w:tcBorders>
            <w:shd w:val="clear" w:color="auto" w:fill="auto"/>
            <w:vAlign w:val="center"/>
          </w:tcPr>
          <w:p w14:paraId="387ECBAD">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5095B76B">
            <w:pPr>
              <w:widowControl/>
              <w:jc w:val="center"/>
              <w:rPr>
                <w:rFonts w:ascii="仿宋" w:hAnsi="仿宋" w:eastAsia="仿宋" w:cs="宋体"/>
                <w:kern w:val="0"/>
                <w:sz w:val="18"/>
                <w:szCs w:val="18"/>
              </w:rPr>
            </w:pPr>
            <w:r>
              <w:rPr>
                <w:rFonts w:hint="eastAsia" w:ascii="仿宋" w:hAnsi="仿宋" w:eastAsia="仿宋" w:cs="宋体"/>
                <w:kern w:val="0"/>
                <w:sz w:val="18"/>
                <w:szCs w:val="18"/>
              </w:rPr>
              <w:t>10.00</w:t>
            </w:r>
          </w:p>
        </w:tc>
        <w:tc>
          <w:tcPr>
            <w:tcW w:w="0" w:type="auto"/>
            <w:tcBorders>
              <w:top w:val="nil"/>
              <w:left w:val="nil"/>
              <w:bottom w:val="single" w:color="auto" w:sz="4" w:space="0"/>
              <w:right w:val="single" w:color="auto" w:sz="4" w:space="0"/>
            </w:tcBorders>
            <w:shd w:val="clear" w:color="auto" w:fill="auto"/>
            <w:vAlign w:val="center"/>
          </w:tcPr>
          <w:p w14:paraId="3265FE1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122.33 </w:t>
            </w:r>
          </w:p>
        </w:tc>
        <w:tc>
          <w:tcPr>
            <w:tcW w:w="0" w:type="auto"/>
            <w:tcBorders>
              <w:top w:val="nil"/>
              <w:left w:val="nil"/>
              <w:bottom w:val="single" w:color="auto" w:sz="4" w:space="0"/>
              <w:right w:val="single" w:color="auto" w:sz="4" w:space="0"/>
            </w:tcBorders>
            <w:shd w:val="clear" w:color="000000" w:fill="FFFFFF"/>
            <w:vAlign w:val="center"/>
          </w:tcPr>
          <w:p w14:paraId="3EDC521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1223.3</w:t>
            </w:r>
          </w:p>
        </w:tc>
        <w:tc>
          <w:tcPr>
            <w:tcW w:w="0" w:type="auto"/>
            <w:tcBorders>
              <w:top w:val="nil"/>
              <w:left w:val="nil"/>
              <w:bottom w:val="single" w:color="auto" w:sz="4" w:space="0"/>
              <w:right w:val="single" w:color="auto" w:sz="4" w:space="0"/>
            </w:tcBorders>
            <w:shd w:val="clear" w:color="auto" w:fill="auto"/>
            <w:noWrap/>
            <w:vAlign w:val="center"/>
          </w:tcPr>
          <w:p w14:paraId="748AFE8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18A151C">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A5EC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0" w:type="auto"/>
            <w:tcBorders>
              <w:top w:val="nil"/>
              <w:left w:val="nil"/>
              <w:bottom w:val="single" w:color="auto" w:sz="4" w:space="0"/>
              <w:right w:val="single" w:color="auto" w:sz="4" w:space="0"/>
            </w:tcBorders>
            <w:shd w:val="clear" w:color="auto" w:fill="auto"/>
            <w:vAlign w:val="center"/>
          </w:tcPr>
          <w:p w14:paraId="5BEEC6D0">
            <w:pPr>
              <w:widowControl/>
              <w:jc w:val="center"/>
              <w:rPr>
                <w:rFonts w:ascii="仿宋" w:hAnsi="仿宋" w:eastAsia="仿宋" w:cs="宋体"/>
                <w:kern w:val="0"/>
                <w:sz w:val="18"/>
                <w:szCs w:val="18"/>
              </w:rPr>
            </w:pPr>
            <w:r>
              <w:rPr>
                <w:rFonts w:hint="eastAsia" w:ascii="仿宋" w:hAnsi="仿宋" w:eastAsia="仿宋" w:cs="宋体"/>
                <w:kern w:val="0"/>
                <w:sz w:val="18"/>
                <w:szCs w:val="18"/>
              </w:rPr>
              <w:t>防火涂料</w:t>
            </w:r>
          </w:p>
        </w:tc>
        <w:tc>
          <w:tcPr>
            <w:tcW w:w="0" w:type="auto"/>
            <w:tcBorders>
              <w:top w:val="nil"/>
              <w:left w:val="nil"/>
              <w:bottom w:val="single" w:color="auto" w:sz="4" w:space="0"/>
              <w:right w:val="single" w:color="auto" w:sz="4" w:space="0"/>
            </w:tcBorders>
            <w:shd w:val="clear" w:color="auto" w:fill="auto"/>
            <w:vAlign w:val="center"/>
          </w:tcPr>
          <w:p w14:paraId="045007B3">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1.除锈级别:管、桥架刷防火涂料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2.涂刷(喷)品种:详设计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3.涂刷(喷)遍数、漆膜厚度:综合考虑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4.耐火极限(h):详设计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5.耐火厚度(mm):详设计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6.综合考虑涂刷遍数及漆膜厚度，计算时按照构件表面积进行计算，仅计算一次</w:t>
            </w:r>
          </w:p>
        </w:tc>
        <w:tc>
          <w:tcPr>
            <w:tcW w:w="0" w:type="auto"/>
            <w:tcBorders>
              <w:top w:val="nil"/>
              <w:left w:val="nil"/>
              <w:bottom w:val="single" w:color="auto" w:sz="4" w:space="0"/>
              <w:right w:val="single" w:color="auto" w:sz="4" w:space="0"/>
            </w:tcBorders>
            <w:shd w:val="clear" w:color="auto" w:fill="auto"/>
            <w:vAlign w:val="center"/>
          </w:tcPr>
          <w:p w14:paraId="01C10A22">
            <w:pPr>
              <w:widowControl/>
              <w:jc w:val="center"/>
              <w:rPr>
                <w:rFonts w:ascii="仿宋" w:hAnsi="仿宋" w:eastAsia="仿宋" w:cs="宋体"/>
                <w:kern w:val="0"/>
                <w:sz w:val="18"/>
                <w:szCs w:val="18"/>
              </w:rPr>
            </w:pPr>
            <w:r>
              <w:rPr>
                <w:rFonts w:hint="eastAsia" w:ascii="仿宋" w:hAnsi="仿宋" w:eastAsia="仿宋" w:cs="宋体"/>
                <w:kern w:val="0"/>
                <w:sz w:val="18"/>
                <w:szCs w:val="18"/>
              </w:rPr>
              <w:t>m2</w:t>
            </w:r>
          </w:p>
        </w:tc>
        <w:tc>
          <w:tcPr>
            <w:tcW w:w="0" w:type="auto"/>
            <w:tcBorders>
              <w:top w:val="nil"/>
              <w:left w:val="nil"/>
              <w:bottom w:val="single" w:color="auto" w:sz="4" w:space="0"/>
              <w:right w:val="single" w:color="auto" w:sz="4" w:space="0"/>
            </w:tcBorders>
            <w:shd w:val="clear" w:color="auto" w:fill="auto"/>
            <w:noWrap/>
            <w:vAlign w:val="center"/>
          </w:tcPr>
          <w:p w14:paraId="6D837122">
            <w:pPr>
              <w:widowControl/>
              <w:jc w:val="center"/>
              <w:rPr>
                <w:rFonts w:ascii="仿宋" w:hAnsi="仿宋" w:eastAsia="仿宋" w:cs="宋体"/>
                <w:kern w:val="0"/>
                <w:sz w:val="18"/>
                <w:szCs w:val="18"/>
              </w:rPr>
            </w:pPr>
            <w:r>
              <w:rPr>
                <w:rFonts w:hint="eastAsia" w:ascii="仿宋" w:hAnsi="仿宋" w:eastAsia="仿宋" w:cs="宋体"/>
                <w:kern w:val="0"/>
                <w:sz w:val="18"/>
                <w:szCs w:val="18"/>
              </w:rPr>
              <w:t>42.00</w:t>
            </w:r>
          </w:p>
        </w:tc>
        <w:tc>
          <w:tcPr>
            <w:tcW w:w="0" w:type="auto"/>
            <w:tcBorders>
              <w:top w:val="nil"/>
              <w:left w:val="nil"/>
              <w:bottom w:val="single" w:color="auto" w:sz="4" w:space="0"/>
              <w:right w:val="single" w:color="auto" w:sz="4" w:space="0"/>
            </w:tcBorders>
            <w:shd w:val="clear" w:color="auto" w:fill="auto"/>
            <w:vAlign w:val="center"/>
          </w:tcPr>
          <w:p w14:paraId="53A939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36.00 </w:t>
            </w:r>
          </w:p>
        </w:tc>
        <w:tc>
          <w:tcPr>
            <w:tcW w:w="0" w:type="auto"/>
            <w:tcBorders>
              <w:top w:val="nil"/>
              <w:left w:val="nil"/>
              <w:bottom w:val="single" w:color="auto" w:sz="4" w:space="0"/>
              <w:right w:val="single" w:color="auto" w:sz="4" w:space="0"/>
            </w:tcBorders>
            <w:shd w:val="clear" w:color="000000" w:fill="FFFFFF"/>
            <w:vAlign w:val="center"/>
          </w:tcPr>
          <w:p w14:paraId="2C9FE01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1512</w:t>
            </w:r>
          </w:p>
        </w:tc>
        <w:tc>
          <w:tcPr>
            <w:tcW w:w="0" w:type="auto"/>
            <w:tcBorders>
              <w:top w:val="nil"/>
              <w:left w:val="nil"/>
              <w:bottom w:val="single" w:color="auto" w:sz="4" w:space="0"/>
              <w:right w:val="single" w:color="auto" w:sz="4" w:space="0"/>
            </w:tcBorders>
            <w:shd w:val="clear" w:color="auto" w:fill="auto"/>
            <w:noWrap/>
            <w:vAlign w:val="center"/>
          </w:tcPr>
          <w:p w14:paraId="5CBFE6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20254F7">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1ACFAC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0" w:type="auto"/>
            <w:tcBorders>
              <w:top w:val="nil"/>
              <w:left w:val="nil"/>
              <w:bottom w:val="single" w:color="auto" w:sz="4" w:space="0"/>
              <w:right w:val="single" w:color="auto" w:sz="4" w:space="0"/>
            </w:tcBorders>
            <w:shd w:val="clear" w:color="auto" w:fill="auto"/>
            <w:vAlign w:val="center"/>
          </w:tcPr>
          <w:p w14:paraId="2F3B4C78">
            <w:pPr>
              <w:widowControl/>
              <w:jc w:val="center"/>
              <w:rPr>
                <w:rFonts w:ascii="仿宋" w:hAnsi="仿宋" w:eastAsia="仿宋" w:cs="宋体"/>
                <w:kern w:val="0"/>
                <w:sz w:val="18"/>
                <w:szCs w:val="18"/>
              </w:rPr>
            </w:pPr>
            <w:r>
              <w:rPr>
                <w:rFonts w:hint="eastAsia" w:ascii="仿宋" w:hAnsi="仿宋" w:eastAsia="仿宋" w:cs="宋体"/>
                <w:kern w:val="0"/>
                <w:sz w:val="18"/>
                <w:szCs w:val="18"/>
              </w:rPr>
              <w:t>铁构件</w:t>
            </w:r>
          </w:p>
        </w:tc>
        <w:tc>
          <w:tcPr>
            <w:tcW w:w="0" w:type="auto"/>
            <w:tcBorders>
              <w:top w:val="nil"/>
              <w:left w:val="nil"/>
              <w:bottom w:val="single" w:color="auto" w:sz="4" w:space="0"/>
              <w:right w:val="single" w:color="auto" w:sz="4" w:space="0"/>
            </w:tcBorders>
            <w:shd w:val="clear" w:color="auto" w:fill="auto"/>
            <w:vAlign w:val="center"/>
          </w:tcPr>
          <w:p w14:paraId="4FB7C3C5">
            <w:pPr>
              <w:widowControl/>
              <w:jc w:val="center"/>
              <w:rPr>
                <w:rFonts w:ascii="仿宋" w:hAnsi="仿宋" w:eastAsia="仿宋" w:cs="宋体"/>
                <w:kern w:val="0"/>
                <w:sz w:val="18"/>
                <w:szCs w:val="18"/>
              </w:rPr>
            </w:pPr>
            <w:r>
              <w:rPr>
                <w:rFonts w:hint="eastAsia" w:ascii="仿宋" w:hAnsi="仿宋" w:eastAsia="仿宋" w:cs="宋体"/>
                <w:kern w:val="0"/>
                <w:sz w:val="18"/>
                <w:szCs w:val="18"/>
              </w:rPr>
              <w:t>1.名称:桥架支撑架制作安装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2.材质:钢制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3.规格:综合考虑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4.含除锈、刷油</w:t>
            </w:r>
          </w:p>
        </w:tc>
        <w:tc>
          <w:tcPr>
            <w:tcW w:w="0" w:type="auto"/>
            <w:tcBorders>
              <w:top w:val="nil"/>
              <w:left w:val="nil"/>
              <w:bottom w:val="single" w:color="auto" w:sz="4" w:space="0"/>
              <w:right w:val="single" w:color="auto" w:sz="4" w:space="0"/>
            </w:tcBorders>
            <w:shd w:val="clear" w:color="auto" w:fill="auto"/>
            <w:vAlign w:val="center"/>
          </w:tcPr>
          <w:p w14:paraId="2B2FFEF8">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0" w:type="auto"/>
            <w:tcBorders>
              <w:top w:val="nil"/>
              <w:left w:val="nil"/>
              <w:bottom w:val="single" w:color="auto" w:sz="4" w:space="0"/>
              <w:right w:val="single" w:color="auto" w:sz="4" w:space="0"/>
            </w:tcBorders>
            <w:shd w:val="clear" w:color="auto" w:fill="auto"/>
            <w:noWrap/>
            <w:vAlign w:val="center"/>
          </w:tcPr>
          <w:p w14:paraId="15C20981">
            <w:pPr>
              <w:widowControl/>
              <w:jc w:val="center"/>
              <w:rPr>
                <w:rFonts w:ascii="仿宋" w:hAnsi="仿宋" w:eastAsia="仿宋" w:cs="宋体"/>
                <w:kern w:val="0"/>
                <w:sz w:val="18"/>
                <w:szCs w:val="18"/>
              </w:rPr>
            </w:pPr>
            <w:r>
              <w:rPr>
                <w:rFonts w:hint="eastAsia" w:ascii="仿宋" w:hAnsi="仿宋" w:eastAsia="仿宋" w:cs="宋体"/>
                <w:kern w:val="0"/>
                <w:sz w:val="18"/>
                <w:szCs w:val="18"/>
              </w:rPr>
              <w:t>12.00</w:t>
            </w:r>
          </w:p>
        </w:tc>
        <w:tc>
          <w:tcPr>
            <w:tcW w:w="0" w:type="auto"/>
            <w:tcBorders>
              <w:top w:val="nil"/>
              <w:left w:val="nil"/>
              <w:bottom w:val="single" w:color="auto" w:sz="4" w:space="0"/>
              <w:right w:val="single" w:color="auto" w:sz="4" w:space="0"/>
            </w:tcBorders>
            <w:shd w:val="clear" w:color="auto" w:fill="auto"/>
            <w:vAlign w:val="center"/>
          </w:tcPr>
          <w:p w14:paraId="096E7E1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12.17 </w:t>
            </w:r>
          </w:p>
        </w:tc>
        <w:tc>
          <w:tcPr>
            <w:tcW w:w="0" w:type="auto"/>
            <w:tcBorders>
              <w:top w:val="nil"/>
              <w:left w:val="nil"/>
              <w:bottom w:val="single" w:color="auto" w:sz="4" w:space="0"/>
              <w:right w:val="single" w:color="auto" w:sz="4" w:space="0"/>
            </w:tcBorders>
            <w:shd w:val="clear" w:color="000000" w:fill="FFFFFF"/>
            <w:vAlign w:val="center"/>
          </w:tcPr>
          <w:p w14:paraId="530762F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146.04</w:t>
            </w:r>
          </w:p>
        </w:tc>
        <w:tc>
          <w:tcPr>
            <w:tcW w:w="0" w:type="auto"/>
            <w:tcBorders>
              <w:top w:val="nil"/>
              <w:left w:val="nil"/>
              <w:bottom w:val="single" w:color="auto" w:sz="4" w:space="0"/>
              <w:right w:val="single" w:color="auto" w:sz="4" w:space="0"/>
            </w:tcBorders>
            <w:shd w:val="clear" w:color="auto" w:fill="auto"/>
            <w:noWrap/>
            <w:vAlign w:val="center"/>
          </w:tcPr>
          <w:p w14:paraId="5FC567A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185A1371">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0BD8D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0" w:type="auto"/>
            <w:tcBorders>
              <w:top w:val="nil"/>
              <w:left w:val="nil"/>
              <w:bottom w:val="single" w:color="auto" w:sz="4" w:space="0"/>
              <w:right w:val="single" w:color="auto" w:sz="4" w:space="0"/>
            </w:tcBorders>
            <w:shd w:val="clear" w:color="auto" w:fill="auto"/>
            <w:vAlign w:val="center"/>
          </w:tcPr>
          <w:p w14:paraId="35220B13">
            <w:pPr>
              <w:widowControl/>
              <w:jc w:val="center"/>
              <w:rPr>
                <w:rFonts w:ascii="仿宋" w:hAnsi="仿宋" w:eastAsia="仿宋" w:cs="宋体"/>
                <w:kern w:val="0"/>
                <w:sz w:val="18"/>
                <w:szCs w:val="18"/>
              </w:rPr>
            </w:pPr>
            <w:r>
              <w:rPr>
                <w:rFonts w:hint="eastAsia" w:ascii="仿宋" w:hAnsi="仿宋" w:eastAsia="仿宋" w:cs="宋体"/>
                <w:kern w:val="0"/>
                <w:sz w:val="18"/>
                <w:szCs w:val="18"/>
              </w:rPr>
              <w:t>低压封闭式插接母线槽</w:t>
            </w:r>
          </w:p>
        </w:tc>
        <w:tc>
          <w:tcPr>
            <w:tcW w:w="0" w:type="auto"/>
            <w:tcBorders>
              <w:top w:val="nil"/>
              <w:left w:val="nil"/>
              <w:bottom w:val="single" w:color="auto" w:sz="4" w:space="0"/>
              <w:right w:val="single" w:color="auto" w:sz="4" w:space="0"/>
            </w:tcBorders>
            <w:shd w:val="clear" w:color="auto" w:fill="auto"/>
            <w:vAlign w:val="center"/>
          </w:tcPr>
          <w:p w14:paraId="61A1E879">
            <w:pPr>
              <w:widowControl/>
              <w:jc w:val="center"/>
              <w:rPr>
                <w:rFonts w:ascii="仿宋" w:hAnsi="仿宋" w:eastAsia="仿宋" w:cs="宋体"/>
                <w:kern w:val="0"/>
                <w:sz w:val="18"/>
                <w:szCs w:val="18"/>
              </w:rPr>
            </w:pPr>
            <w:r>
              <w:rPr>
                <w:rFonts w:hint="eastAsia" w:ascii="仿宋" w:hAnsi="仿宋" w:eastAsia="仿宋" w:cs="宋体"/>
                <w:kern w:val="0"/>
                <w:sz w:val="18"/>
                <w:szCs w:val="18"/>
              </w:rPr>
              <w:t>1.名称:封闭母线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2.型号:SPMX1-4000A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3.规格:详设计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4.容量(A):4000A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5.线制:详设计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6.安装部位:综合考虑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7.工作内容：安装，接地，包含三通弯头连接片等附件</w:t>
            </w:r>
          </w:p>
        </w:tc>
        <w:tc>
          <w:tcPr>
            <w:tcW w:w="0" w:type="auto"/>
            <w:tcBorders>
              <w:top w:val="nil"/>
              <w:left w:val="nil"/>
              <w:bottom w:val="single" w:color="auto" w:sz="4" w:space="0"/>
              <w:right w:val="single" w:color="auto" w:sz="4" w:space="0"/>
            </w:tcBorders>
            <w:shd w:val="clear" w:color="auto" w:fill="auto"/>
            <w:vAlign w:val="center"/>
          </w:tcPr>
          <w:p w14:paraId="7A6C1461">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394F553D">
            <w:pPr>
              <w:widowControl/>
              <w:jc w:val="center"/>
              <w:rPr>
                <w:rFonts w:ascii="仿宋" w:hAnsi="仿宋" w:eastAsia="仿宋" w:cs="宋体"/>
                <w:kern w:val="0"/>
                <w:sz w:val="18"/>
                <w:szCs w:val="18"/>
              </w:rPr>
            </w:pPr>
            <w:r>
              <w:rPr>
                <w:rFonts w:hint="eastAsia" w:ascii="仿宋" w:hAnsi="仿宋" w:eastAsia="仿宋" w:cs="宋体"/>
                <w:kern w:val="0"/>
                <w:sz w:val="18"/>
                <w:szCs w:val="18"/>
              </w:rPr>
              <w:t>30.00</w:t>
            </w:r>
          </w:p>
        </w:tc>
        <w:tc>
          <w:tcPr>
            <w:tcW w:w="0" w:type="auto"/>
            <w:tcBorders>
              <w:top w:val="nil"/>
              <w:left w:val="nil"/>
              <w:bottom w:val="single" w:color="auto" w:sz="4" w:space="0"/>
              <w:right w:val="single" w:color="auto" w:sz="4" w:space="0"/>
            </w:tcBorders>
            <w:shd w:val="clear" w:color="auto" w:fill="auto"/>
            <w:vAlign w:val="center"/>
          </w:tcPr>
          <w:p w14:paraId="186690C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7006.67 </w:t>
            </w:r>
          </w:p>
        </w:tc>
        <w:tc>
          <w:tcPr>
            <w:tcW w:w="0" w:type="auto"/>
            <w:tcBorders>
              <w:top w:val="nil"/>
              <w:left w:val="nil"/>
              <w:bottom w:val="single" w:color="auto" w:sz="4" w:space="0"/>
              <w:right w:val="single" w:color="auto" w:sz="4" w:space="0"/>
            </w:tcBorders>
            <w:shd w:val="clear" w:color="000000" w:fill="FFFFFF"/>
            <w:vAlign w:val="center"/>
          </w:tcPr>
          <w:p w14:paraId="55457C3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210200.1</w:t>
            </w:r>
          </w:p>
        </w:tc>
        <w:tc>
          <w:tcPr>
            <w:tcW w:w="0" w:type="auto"/>
            <w:tcBorders>
              <w:top w:val="nil"/>
              <w:left w:val="nil"/>
              <w:bottom w:val="single" w:color="auto" w:sz="4" w:space="0"/>
              <w:right w:val="single" w:color="auto" w:sz="4" w:space="0"/>
            </w:tcBorders>
            <w:shd w:val="clear" w:color="auto" w:fill="auto"/>
            <w:noWrap/>
            <w:vAlign w:val="center"/>
          </w:tcPr>
          <w:p w14:paraId="45F1510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45056B8">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EE63C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w:t>
            </w:r>
          </w:p>
        </w:tc>
        <w:tc>
          <w:tcPr>
            <w:tcW w:w="0" w:type="auto"/>
            <w:tcBorders>
              <w:top w:val="nil"/>
              <w:left w:val="nil"/>
              <w:bottom w:val="single" w:color="auto" w:sz="4" w:space="0"/>
              <w:right w:val="single" w:color="auto" w:sz="4" w:space="0"/>
            </w:tcBorders>
            <w:shd w:val="clear" w:color="auto" w:fill="auto"/>
            <w:vAlign w:val="center"/>
          </w:tcPr>
          <w:p w14:paraId="226F9C6B">
            <w:pPr>
              <w:widowControl/>
              <w:jc w:val="center"/>
              <w:rPr>
                <w:rFonts w:ascii="仿宋" w:hAnsi="仿宋" w:eastAsia="仿宋" w:cs="宋体"/>
                <w:kern w:val="0"/>
                <w:sz w:val="18"/>
                <w:szCs w:val="18"/>
              </w:rPr>
            </w:pPr>
            <w:r>
              <w:rPr>
                <w:rFonts w:hint="eastAsia" w:ascii="仿宋" w:hAnsi="仿宋" w:eastAsia="仿宋" w:cs="宋体"/>
                <w:kern w:val="0"/>
                <w:sz w:val="18"/>
                <w:szCs w:val="18"/>
              </w:rPr>
              <w:t>带形铜母线</w:t>
            </w:r>
          </w:p>
        </w:tc>
        <w:tc>
          <w:tcPr>
            <w:tcW w:w="0" w:type="auto"/>
            <w:tcBorders>
              <w:top w:val="nil"/>
              <w:left w:val="nil"/>
              <w:bottom w:val="single" w:color="auto" w:sz="4" w:space="0"/>
              <w:right w:val="single" w:color="auto" w:sz="4" w:space="0"/>
            </w:tcBorders>
            <w:shd w:val="clear" w:color="auto" w:fill="auto"/>
            <w:vAlign w:val="center"/>
          </w:tcPr>
          <w:p w14:paraId="33800F73">
            <w:pPr>
              <w:widowControl/>
              <w:jc w:val="center"/>
              <w:rPr>
                <w:rFonts w:ascii="仿宋" w:hAnsi="仿宋" w:eastAsia="仿宋" w:cs="宋体"/>
                <w:kern w:val="0"/>
                <w:sz w:val="18"/>
                <w:szCs w:val="18"/>
              </w:rPr>
            </w:pPr>
            <w:r>
              <w:rPr>
                <w:rFonts w:hint="eastAsia" w:ascii="仿宋" w:hAnsi="仿宋" w:eastAsia="仿宋" w:cs="宋体"/>
                <w:kern w:val="0"/>
                <w:sz w:val="18"/>
                <w:szCs w:val="18"/>
              </w:rPr>
              <w:t>1.名称:软连接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2.型号:125*10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5.绝缘子类型、规格: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6.穿墙套管材质、规格: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7.穿通板材质、规格: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8.母线桥材质、规格: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9.引下线材质、规格: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伸缩节、过渡板材质、规格11.:</w:t>
            </w:r>
          </w:p>
        </w:tc>
        <w:tc>
          <w:tcPr>
            <w:tcW w:w="0" w:type="auto"/>
            <w:tcBorders>
              <w:top w:val="nil"/>
              <w:left w:val="nil"/>
              <w:bottom w:val="single" w:color="auto" w:sz="4" w:space="0"/>
              <w:right w:val="single" w:color="auto" w:sz="4" w:space="0"/>
            </w:tcBorders>
            <w:shd w:val="clear" w:color="auto" w:fill="auto"/>
            <w:vAlign w:val="center"/>
          </w:tcPr>
          <w:p w14:paraId="2DA8284F">
            <w:pPr>
              <w:widowControl/>
              <w:jc w:val="center"/>
              <w:rPr>
                <w:rFonts w:ascii="仿宋" w:hAnsi="仿宋" w:eastAsia="仿宋" w:cs="宋体"/>
                <w:kern w:val="0"/>
                <w:sz w:val="18"/>
                <w:szCs w:val="18"/>
              </w:rPr>
            </w:pPr>
            <w:r>
              <w:rPr>
                <w:rFonts w:hint="eastAsia" w:ascii="仿宋" w:hAnsi="仿宋" w:eastAsia="仿宋" w:cs="宋体"/>
                <w:kern w:val="0"/>
                <w:sz w:val="18"/>
                <w:szCs w:val="18"/>
              </w:rPr>
              <w:t>条</w:t>
            </w:r>
          </w:p>
        </w:tc>
        <w:tc>
          <w:tcPr>
            <w:tcW w:w="0" w:type="auto"/>
            <w:tcBorders>
              <w:top w:val="nil"/>
              <w:left w:val="nil"/>
              <w:bottom w:val="single" w:color="auto" w:sz="4" w:space="0"/>
              <w:right w:val="single" w:color="auto" w:sz="4" w:space="0"/>
            </w:tcBorders>
            <w:shd w:val="clear" w:color="auto" w:fill="auto"/>
            <w:noWrap/>
            <w:vAlign w:val="center"/>
          </w:tcPr>
          <w:p w14:paraId="22F33187">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6EA5670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1066.00 </w:t>
            </w:r>
          </w:p>
        </w:tc>
        <w:tc>
          <w:tcPr>
            <w:tcW w:w="0" w:type="auto"/>
            <w:tcBorders>
              <w:top w:val="nil"/>
              <w:left w:val="nil"/>
              <w:bottom w:val="single" w:color="auto" w:sz="4" w:space="0"/>
              <w:right w:val="single" w:color="auto" w:sz="4" w:space="0"/>
            </w:tcBorders>
            <w:shd w:val="clear" w:color="000000" w:fill="FFFFFF"/>
            <w:vAlign w:val="center"/>
          </w:tcPr>
          <w:p w14:paraId="7106943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2132</w:t>
            </w:r>
          </w:p>
        </w:tc>
        <w:tc>
          <w:tcPr>
            <w:tcW w:w="0" w:type="auto"/>
            <w:tcBorders>
              <w:top w:val="nil"/>
              <w:left w:val="nil"/>
              <w:bottom w:val="single" w:color="auto" w:sz="4" w:space="0"/>
              <w:right w:val="single" w:color="auto" w:sz="4" w:space="0"/>
            </w:tcBorders>
            <w:shd w:val="clear" w:color="auto" w:fill="auto"/>
            <w:noWrap/>
            <w:vAlign w:val="center"/>
          </w:tcPr>
          <w:p w14:paraId="386E375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2DA931F7">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057E9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14:paraId="6873D2FE">
            <w:pPr>
              <w:widowControl/>
              <w:jc w:val="center"/>
              <w:rPr>
                <w:rFonts w:ascii="仿宋" w:hAnsi="仿宋" w:eastAsia="仿宋" w:cs="宋体"/>
                <w:kern w:val="0"/>
                <w:sz w:val="18"/>
                <w:szCs w:val="18"/>
              </w:rPr>
            </w:pPr>
            <w:r>
              <w:rPr>
                <w:rFonts w:hint="eastAsia" w:ascii="仿宋" w:hAnsi="仿宋" w:eastAsia="仿宋" w:cs="宋体"/>
                <w:kern w:val="0"/>
                <w:sz w:val="18"/>
                <w:szCs w:val="18"/>
              </w:rPr>
              <w:t>带形铜母线</w:t>
            </w:r>
          </w:p>
        </w:tc>
        <w:tc>
          <w:tcPr>
            <w:tcW w:w="0" w:type="auto"/>
            <w:tcBorders>
              <w:top w:val="nil"/>
              <w:left w:val="nil"/>
              <w:bottom w:val="single" w:color="auto" w:sz="4" w:space="0"/>
              <w:right w:val="single" w:color="auto" w:sz="4" w:space="0"/>
            </w:tcBorders>
            <w:shd w:val="clear" w:color="auto" w:fill="auto"/>
            <w:vAlign w:val="center"/>
          </w:tcPr>
          <w:p w14:paraId="7605BB92">
            <w:pPr>
              <w:widowControl/>
              <w:jc w:val="center"/>
              <w:rPr>
                <w:rFonts w:ascii="仿宋" w:hAnsi="仿宋" w:eastAsia="仿宋" w:cs="宋体"/>
                <w:kern w:val="0"/>
                <w:sz w:val="18"/>
                <w:szCs w:val="18"/>
              </w:rPr>
            </w:pPr>
            <w:r>
              <w:rPr>
                <w:rFonts w:hint="eastAsia" w:ascii="仿宋" w:hAnsi="仿宋" w:eastAsia="仿宋" w:cs="宋体"/>
                <w:kern w:val="0"/>
                <w:sz w:val="18"/>
                <w:szCs w:val="18"/>
              </w:rPr>
              <w:t>1.名称:连接铜排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2.型号:TMY-125×10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5.绝缘子类型、规格: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6.穿墙套管材质、规格: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7.穿通板材质、规格: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8.母线桥材质、规格: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9.引下线材质、规格: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伸缩节、过渡板材质、规格11.:</w:t>
            </w:r>
          </w:p>
        </w:tc>
        <w:tc>
          <w:tcPr>
            <w:tcW w:w="0" w:type="auto"/>
            <w:tcBorders>
              <w:top w:val="nil"/>
              <w:left w:val="nil"/>
              <w:bottom w:val="single" w:color="auto" w:sz="4" w:space="0"/>
              <w:right w:val="single" w:color="auto" w:sz="4" w:space="0"/>
            </w:tcBorders>
            <w:shd w:val="clear" w:color="auto" w:fill="auto"/>
            <w:vAlign w:val="center"/>
          </w:tcPr>
          <w:p w14:paraId="72FED40F">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25A8D6DD">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c>
          <w:tcPr>
            <w:tcW w:w="0" w:type="auto"/>
            <w:tcBorders>
              <w:top w:val="nil"/>
              <w:left w:val="nil"/>
              <w:bottom w:val="single" w:color="auto" w:sz="4" w:space="0"/>
              <w:right w:val="single" w:color="auto" w:sz="4" w:space="0"/>
            </w:tcBorders>
            <w:shd w:val="clear" w:color="auto" w:fill="auto"/>
            <w:vAlign w:val="center"/>
          </w:tcPr>
          <w:p w14:paraId="6CEF5A8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704.00 </w:t>
            </w:r>
          </w:p>
        </w:tc>
        <w:tc>
          <w:tcPr>
            <w:tcW w:w="0" w:type="auto"/>
            <w:tcBorders>
              <w:top w:val="nil"/>
              <w:left w:val="nil"/>
              <w:bottom w:val="single" w:color="auto" w:sz="4" w:space="0"/>
              <w:right w:val="single" w:color="auto" w:sz="4" w:space="0"/>
            </w:tcBorders>
            <w:shd w:val="clear" w:color="000000" w:fill="FFFFFF"/>
            <w:vAlign w:val="center"/>
          </w:tcPr>
          <w:p w14:paraId="005AE0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5632</w:t>
            </w:r>
          </w:p>
        </w:tc>
        <w:tc>
          <w:tcPr>
            <w:tcW w:w="0" w:type="auto"/>
            <w:tcBorders>
              <w:top w:val="nil"/>
              <w:left w:val="nil"/>
              <w:bottom w:val="single" w:color="auto" w:sz="4" w:space="0"/>
              <w:right w:val="single" w:color="auto" w:sz="4" w:space="0"/>
            </w:tcBorders>
            <w:shd w:val="clear" w:color="auto" w:fill="auto"/>
            <w:noWrap/>
            <w:vAlign w:val="center"/>
          </w:tcPr>
          <w:p w14:paraId="72B646C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2B9F1E7">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6B645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w:t>
            </w:r>
          </w:p>
        </w:tc>
        <w:tc>
          <w:tcPr>
            <w:tcW w:w="0" w:type="auto"/>
            <w:tcBorders>
              <w:top w:val="nil"/>
              <w:left w:val="nil"/>
              <w:bottom w:val="single" w:color="auto" w:sz="4" w:space="0"/>
              <w:right w:val="single" w:color="auto" w:sz="4" w:space="0"/>
            </w:tcBorders>
            <w:shd w:val="clear" w:color="auto" w:fill="auto"/>
            <w:vAlign w:val="center"/>
          </w:tcPr>
          <w:p w14:paraId="578E6BBE">
            <w:pPr>
              <w:widowControl/>
              <w:jc w:val="center"/>
              <w:rPr>
                <w:rFonts w:ascii="仿宋" w:hAnsi="仿宋" w:eastAsia="仿宋" w:cs="宋体"/>
                <w:kern w:val="0"/>
                <w:sz w:val="18"/>
                <w:szCs w:val="18"/>
              </w:rPr>
            </w:pPr>
            <w:r>
              <w:rPr>
                <w:rFonts w:hint="eastAsia" w:ascii="仿宋" w:hAnsi="仿宋" w:eastAsia="仿宋" w:cs="宋体"/>
                <w:kern w:val="0"/>
                <w:sz w:val="18"/>
                <w:szCs w:val="18"/>
              </w:rPr>
              <w:t>带形铜母线</w:t>
            </w:r>
          </w:p>
        </w:tc>
        <w:tc>
          <w:tcPr>
            <w:tcW w:w="0" w:type="auto"/>
            <w:tcBorders>
              <w:top w:val="nil"/>
              <w:left w:val="nil"/>
              <w:bottom w:val="single" w:color="auto" w:sz="4" w:space="0"/>
              <w:right w:val="single" w:color="auto" w:sz="4" w:space="0"/>
            </w:tcBorders>
            <w:shd w:val="clear" w:color="auto" w:fill="auto"/>
            <w:vAlign w:val="center"/>
          </w:tcPr>
          <w:p w14:paraId="35952095">
            <w:pPr>
              <w:widowControl/>
              <w:jc w:val="center"/>
              <w:rPr>
                <w:rFonts w:ascii="仿宋" w:hAnsi="仿宋" w:eastAsia="仿宋" w:cs="宋体"/>
                <w:kern w:val="0"/>
                <w:sz w:val="18"/>
                <w:szCs w:val="18"/>
              </w:rPr>
            </w:pPr>
            <w:r>
              <w:rPr>
                <w:rFonts w:hint="eastAsia" w:ascii="仿宋" w:hAnsi="仿宋" w:eastAsia="仿宋" w:cs="宋体"/>
                <w:kern w:val="0"/>
                <w:sz w:val="18"/>
                <w:szCs w:val="18"/>
              </w:rPr>
              <w:t>1.名称:连接铜排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2.型号:TMY-100×10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5.绝缘子类型、规格: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6.穿墙套管材质、规格: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7.穿通板材质、规格: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8.母线桥材质、规格: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9.引下线材质、规格: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伸缩节、过渡板材质、规格11.:</w:t>
            </w:r>
          </w:p>
        </w:tc>
        <w:tc>
          <w:tcPr>
            <w:tcW w:w="0" w:type="auto"/>
            <w:tcBorders>
              <w:top w:val="nil"/>
              <w:left w:val="nil"/>
              <w:bottom w:val="single" w:color="auto" w:sz="4" w:space="0"/>
              <w:right w:val="single" w:color="auto" w:sz="4" w:space="0"/>
            </w:tcBorders>
            <w:shd w:val="clear" w:color="auto" w:fill="auto"/>
            <w:vAlign w:val="center"/>
          </w:tcPr>
          <w:p w14:paraId="5A17C859">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327296A8">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c>
          <w:tcPr>
            <w:tcW w:w="0" w:type="auto"/>
            <w:tcBorders>
              <w:top w:val="nil"/>
              <w:left w:val="nil"/>
              <w:bottom w:val="single" w:color="auto" w:sz="4" w:space="0"/>
              <w:right w:val="single" w:color="auto" w:sz="4" w:space="0"/>
            </w:tcBorders>
            <w:shd w:val="clear" w:color="auto" w:fill="auto"/>
            <w:vAlign w:val="center"/>
          </w:tcPr>
          <w:p w14:paraId="2CEF540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888.33 </w:t>
            </w:r>
          </w:p>
        </w:tc>
        <w:tc>
          <w:tcPr>
            <w:tcW w:w="0" w:type="auto"/>
            <w:tcBorders>
              <w:top w:val="nil"/>
              <w:left w:val="nil"/>
              <w:bottom w:val="single" w:color="auto" w:sz="4" w:space="0"/>
              <w:right w:val="single" w:color="auto" w:sz="4" w:space="0"/>
            </w:tcBorders>
            <w:shd w:val="clear" w:color="000000" w:fill="FFFFFF"/>
            <w:vAlign w:val="center"/>
          </w:tcPr>
          <w:p w14:paraId="0AEF99F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7106.64</w:t>
            </w:r>
          </w:p>
        </w:tc>
        <w:tc>
          <w:tcPr>
            <w:tcW w:w="0" w:type="auto"/>
            <w:tcBorders>
              <w:top w:val="nil"/>
              <w:left w:val="nil"/>
              <w:bottom w:val="single" w:color="auto" w:sz="4" w:space="0"/>
              <w:right w:val="single" w:color="auto" w:sz="4" w:space="0"/>
            </w:tcBorders>
            <w:shd w:val="clear" w:color="auto" w:fill="auto"/>
            <w:noWrap/>
            <w:vAlign w:val="center"/>
          </w:tcPr>
          <w:p w14:paraId="56F4881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293A81E7">
        <w:tblPrEx>
          <w:tblCellMar>
            <w:top w:w="0" w:type="dxa"/>
            <w:left w:w="108" w:type="dxa"/>
            <w:bottom w:w="0" w:type="dxa"/>
            <w:right w:w="108" w:type="dxa"/>
          </w:tblCellMar>
        </w:tblPrEx>
        <w:trPr>
          <w:trHeight w:val="7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41DD1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A0A851C">
            <w:pPr>
              <w:widowControl/>
              <w:jc w:val="center"/>
              <w:rPr>
                <w:rFonts w:ascii="仿宋" w:hAnsi="仿宋" w:eastAsia="仿宋"/>
                <w:color w:val="333333"/>
                <w:kern w:val="0"/>
                <w:sz w:val="18"/>
                <w:szCs w:val="18"/>
              </w:rPr>
            </w:pPr>
            <w:r>
              <w:rPr>
                <w:rFonts w:ascii="仿宋" w:hAnsi="仿宋" w:eastAsia="仿宋"/>
                <w:color w:val="333333"/>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E556D1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0" w:type="auto"/>
            <w:tcBorders>
              <w:top w:val="nil"/>
              <w:left w:val="nil"/>
              <w:bottom w:val="single" w:color="auto" w:sz="4" w:space="0"/>
              <w:right w:val="single" w:color="auto" w:sz="4" w:space="0"/>
            </w:tcBorders>
            <w:shd w:val="clear" w:color="auto" w:fill="auto"/>
            <w:noWrap/>
            <w:vAlign w:val="center"/>
          </w:tcPr>
          <w:p w14:paraId="4CB4FBC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33D8FDF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97C8AE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012B57C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1762717.06 </w:t>
            </w:r>
          </w:p>
        </w:tc>
        <w:tc>
          <w:tcPr>
            <w:tcW w:w="0" w:type="auto"/>
            <w:tcBorders>
              <w:top w:val="nil"/>
              <w:left w:val="nil"/>
              <w:bottom w:val="single" w:color="auto" w:sz="4" w:space="0"/>
              <w:right w:val="single" w:color="auto" w:sz="4" w:space="0"/>
            </w:tcBorders>
            <w:shd w:val="clear" w:color="auto" w:fill="auto"/>
            <w:noWrap/>
            <w:vAlign w:val="center"/>
          </w:tcPr>
          <w:p w14:paraId="2D88673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27F36B19">
      <w:pPr>
        <w:spacing w:line="560" w:lineRule="exact"/>
        <w:ind w:firstLine="560" w:firstLineChars="200"/>
        <w:rPr>
          <w:rFonts w:ascii="仿宋" w:hAnsi="仿宋" w:eastAsia="仿宋"/>
          <w:sz w:val="28"/>
          <w:szCs w:val="28"/>
        </w:rPr>
      </w:pPr>
    </w:p>
    <w:p w14:paraId="29855481">
      <w:pPr>
        <w:spacing w:line="560" w:lineRule="exact"/>
        <w:rPr>
          <w:rFonts w:ascii="仿宋" w:hAnsi="仿宋" w:eastAsia="仿宋"/>
          <w:sz w:val="28"/>
          <w:szCs w:val="28"/>
        </w:rPr>
      </w:pPr>
    </w:p>
    <w:p w14:paraId="5CFC4F04">
      <w:pPr>
        <w:rPr>
          <w:szCs w:val="28"/>
        </w:rPr>
      </w:pPr>
    </w:p>
    <w:p w14:paraId="311BF282">
      <w:pPr>
        <w:spacing w:line="560" w:lineRule="exact"/>
        <w:outlineLvl w:val="0"/>
        <w:rPr>
          <w:rFonts w:ascii="黑体" w:hAnsi="黑体" w:eastAsia="黑体" w:cs="黑体"/>
          <w:bCs/>
          <w:sz w:val="32"/>
          <w:szCs w:val="32"/>
        </w:rPr>
      </w:pPr>
    </w:p>
    <w:p w14:paraId="6E751E3B">
      <w:pPr>
        <w:spacing w:line="560" w:lineRule="exact"/>
        <w:outlineLvl w:val="0"/>
        <w:rPr>
          <w:rFonts w:ascii="黑体" w:hAnsi="黑体" w:eastAsia="黑体" w:cs="黑体"/>
          <w:bCs/>
          <w:sz w:val="32"/>
          <w:szCs w:val="32"/>
        </w:rPr>
      </w:pPr>
    </w:p>
    <w:p w14:paraId="3DF55F6E">
      <w:pPr>
        <w:spacing w:line="560" w:lineRule="exact"/>
        <w:outlineLvl w:val="0"/>
        <w:rPr>
          <w:rFonts w:ascii="黑体" w:hAnsi="黑体" w:eastAsia="黑体" w:cs="黑体"/>
          <w:bCs/>
          <w:sz w:val="32"/>
          <w:szCs w:val="32"/>
        </w:rPr>
      </w:pPr>
    </w:p>
    <w:p w14:paraId="70016E47">
      <w:pPr>
        <w:spacing w:line="560" w:lineRule="exact"/>
        <w:outlineLvl w:val="0"/>
        <w:rPr>
          <w:rFonts w:ascii="黑体" w:hAnsi="黑体" w:eastAsia="黑体" w:cs="黑体"/>
          <w:bCs/>
          <w:sz w:val="32"/>
          <w:szCs w:val="32"/>
        </w:rPr>
      </w:pPr>
    </w:p>
    <w:p w14:paraId="12B04FAA">
      <w:pPr>
        <w:spacing w:line="560" w:lineRule="exact"/>
        <w:outlineLvl w:val="0"/>
        <w:rPr>
          <w:rFonts w:ascii="黑体" w:hAnsi="黑体" w:eastAsia="黑体" w:cs="黑体"/>
          <w:bCs/>
          <w:sz w:val="32"/>
          <w:szCs w:val="32"/>
        </w:rPr>
      </w:pPr>
    </w:p>
    <w:p w14:paraId="44754447">
      <w:pPr>
        <w:spacing w:line="560" w:lineRule="exact"/>
        <w:outlineLvl w:val="0"/>
        <w:rPr>
          <w:rFonts w:ascii="黑体" w:hAnsi="黑体" w:eastAsia="黑体" w:cs="黑体"/>
          <w:bCs/>
          <w:sz w:val="32"/>
          <w:szCs w:val="32"/>
        </w:rPr>
      </w:pPr>
    </w:p>
    <w:p w14:paraId="4577C7FA">
      <w:pPr>
        <w:rPr>
          <w:rFonts w:asciiTheme="minorEastAsia" w:hAnsiTheme="minorEastAsia" w:eastAsiaTheme="minorEastAsia"/>
          <w:b/>
          <w:bCs/>
          <w:sz w:val="28"/>
          <w:szCs w:val="28"/>
        </w:rPr>
      </w:pPr>
      <w:r>
        <w:rPr>
          <w:rFonts w:ascii="黑体" w:hAnsi="黑体" w:eastAsia="黑体" w:cs="黑体"/>
          <w:bCs/>
          <w:sz w:val="32"/>
          <w:szCs w:val="32"/>
        </w:rPr>
        <w:br w:type="page"/>
      </w:r>
    </w:p>
    <w:p w14:paraId="26C994F2">
      <w:pPr>
        <w:spacing w:line="560" w:lineRule="exact"/>
        <w:outlineLvl w:val="0"/>
        <w:rPr>
          <w:rFonts w:ascii="黑体" w:hAnsi="黑体" w:eastAsia="黑体" w:cs="黑体"/>
          <w:bCs/>
          <w:sz w:val="28"/>
          <w:szCs w:val="28"/>
        </w:rPr>
      </w:pPr>
      <w:bookmarkStart w:id="23" w:name="_Toc184045617"/>
      <w:bookmarkStart w:id="24" w:name="_Toc26951"/>
      <w:bookmarkStart w:id="25" w:name="_Toc134452757"/>
      <w:r>
        <w:rPr>
          <w:rFonts w:ascii="黑体" w:hAnsi="黑体" w:eastAsia="黑体" w:cs="黑体"/>
          <w:bCs/>
          <w:sz w:val="28"/>
          <w:szCs w:val="28"/>
        </w:rPr>
        <w:t>第</w:t>
      </w:r>
      <w:r>
        <w:rPr>
          <w:rFonts w:hint="eastAsia" w:ascii="黑体" w:hAnsi="黑体" w:eastAsia="黑体" w:cs="黑体"/>
          <w:bCs/>
          <w:sz w:val="28"/>
          <w:szCs w:val="28"/>
        </w:rPr>
        <w:t>二</w:t>
      </w:r>
      <w:r>
        <w:rPr>
          <w:rFonts w:ascii="黑体" w:hAnsi="黑体" w:eastAsia="黑体" w:cs="黑体"/>
          <w:bCs/>
          <w:sz w:val="28"/>
          <w:szCs w:val="28"/>
        </w:rPr>
        <w:t>包：</w:t>
      </w:r>
      <w:r>
        <w:rPr>
          <w:rFonts w:hint="eastAsia" w:ascii="黑体" w:hAnsi="黑体" w:eastAsia="黑体" w:cs="黑体"/>
          <w:bCs/>
          <w:sz w:val="28"/>
          <w:szCs w:val="28"/>
        </w:rPr>
        <w:t>3号能源站二期变配电工程</w:t>
      </w:r>
      <w:bookmarkEnd w:id="23"/>
      <w:r>
        <w:rPr>
          <w:rFonts w:hint="eastAsia" w:ascii="黑体" w:hAnsi="黑体" w:eastAsia="黑体" w:cs="黑体"/>
          <w:bCs/>
          <w:sz w:val="28"/>
          <w:szCs w:val="28"/>
        </w:rPr>
        <w:t>变配电设备</w:t>
      </w:r>
    </w:p>
    <w:p w14:paraId="42F9B6B1">
      <w:pPr>
        <w:spacing w:line="560" w:lineRule="exact"/>
        <w:outlineLvl w:val="0"/>
        <w:rPr>
          <w:rFonts w:ascii="仿宋" w:hAnsi="仿宋" w:eastAsia="仿宋"/>
          <w:sz w:val="28"/>
          <w:szCs w:val="28"/>
        </w:rPr>
      </w:pPr>
      <w:bookmarkStart w:id="26" w:name="_Toc184045618"/>
      <w:r>
        <w:rPr>
          <w:rFonts w:hint="eastAsia" w:asciiTheme="minorEastAsia" w:hAnsiTheme="minorEastAsia" w:eastAsiaTheme="minorEastAsia"/>
          <w:b/>
          <w:bCs/>
          <w:sz w:val="28"/>
          <w:szCs w:val="28"/>
        </w:rPr>
        <w:t>1.采购产品名称</w:t>
      </w:r>
      <w:r>
        <w:rPr>
          <w:rStyle w:val="44"/>
          <w:rFonts w:hint="eastAsia"/>
        </w:rPr>
        <w:t>：</w:t>
      </w:r>
      <w:r>
        <w:rPr>
          <w:rFonts w:hint="eastAsia" w:ascii="仿宋" w:hAnsi="仿宋" w:eastAsia="仿宋"/>
          <w:sz w:val="28"/>
          <w:szCs w:val="28"/>
        </w:rPr>
        <w:t>3号能源站二期变配电工程</w:t>
      </w:r>
      <w:bookmarkEnd w:id="26"/>
      <w:r>
        <w:rPr>
          <w:rFonts w:hint="eastAsia" w:ascii="仿宋" w:hAnsi="仿宋" w:eastAsia="仿宋"/>
          <w:sz w:val="28"/>
          <w:szCs w:val="28"/>
        </w:rPr>
        <w:t>变配电设备</w:t>
      </w:r>
    </w:p>
    <w:p w14:paraId="6F630AF8">
      <w:pPr>
        <w:pStyle w:val="4"/>
        <w:spacing w:before="0" w:after="0" w:line="560" w:lineRule="exact"/>
        <w:jc w:val="left"/>
        <w:rPr>
          <w:rFonts w:asciiTheme="minorEastAsia" w:hAnsiTheme="minorEastAsia" w:eastAsiaTheme="minorEastAsia"/>
          <w:sz w:val="28"/>
          <w:szCs w:val="28"/>
        </w:rPr>
      </w:pPr>
      <w:bookmarkStart w:id="27" w:name="_Toc184045619"/>
      <w:r>
        <w:rPr>
          <w:rFonts w:hint="eastAsia" w:asciiTheme="minorEastAsia" w:hAnsiTheme="minorEastAsia" w:eastAsiaTheme="minorEastAsia"/>
          <w:sz w:val="28"/>
          <w:szCs w:val="28"/>
        </w:rPr>
        <w:t>2.技术要求</w:t>
      </w:r>
      <w:bookmarkEnd w:id="27"/>
    </w:p>
    <w:p w14:paraId="38ADEA6B">
      <w:pPr>
        <w:spacing w:line="560" w:lineRule="exact"/>
        <w:ind w:firstLine="560" w:firstLineChars="200"/>
        <w:rPr>
          <w:rFonts w:ascii="仿宋" w:hAnsi="仿宋" w:eastAsia="仿宋"/>
          <w:sz w:val="28"/>
          <w:szCs w:val="28"/>
        </w:rPr>
      </w:pPr>
      <w:r>
        <w:rPr>
          <w:rFonts w:hint="eastAsia" w:ascii="仿宋" w:hAnsi="仿宋" w:eastAsia="仿宋"/>
          <w:sz w:val="28"/>
          <w:szCs w:val="28"/>
        </w:rPr>
        <w:t>★2.1.供方需保证其所提供的产品必须是合同所确定的正宗原装产品，其型号、规格必须符合招标产品所列的各项参数，质量必须达到该项设备的国家标准及行业质量标准，严禁使用不合格材料，假一罚十；所附各种资料及配件（软件）等必须齐全。</w:t>
      </w:r>
    </w:p>
    <w:p w14:paraId="5463300A">
      <w:pPr>
        <w:spacing w:line="560" w:lineRule="exact"/>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由供方包设备、就位、铜排连接、隔离开关</w:t>
      </w:r>
      <w:r>
        <w:rPr>
          <w:rFonts w:hint="eastAsia" w:ascii="仿宋" w:hAnsi="仿宋" w:eastAsia="仿宋"/>
          <w:sz w:val="28"/>
          <w:szCs w:val="28"/>
        </w:rPr>
        <w:t>安装</w:t>
      </w:r>
      <w:r>
        <w:rPr>
          <w:rFonts w:ascii="仿宋" w:hAnsi="仿宋" w:eastAsia="仿宋"/>
          <w:sz w:val="28"/>
          <w:szCs w:val="28"/>
        </w:rPr>
        <w:t>、避雷器</w:t>
      </w:r>
      <w:r>
        <w:rPr>
          <w:rFonts w:hint="eastAsia" w:ascii="仿宋" w:hAnsi="仿宋" w:eastAsia="仿宋"/>
          <w:sz w:val="28"/>
          <w:szCs w:val="28"/>
        </w:rPr>
        <w:t>安装、验收送电</w:t>
      </w:r>
      <w:r>
        <w:rPr>
          <w:rFonts w:ascii="仿宋" w:hAnsi="仿宋" w:eastAsia="仿宋"/>
          <w:sz w:val="28"/>
          <w:szCs w:val="28"/>
        </w:rPr>
        <w:t>等内容，包质量及相关系统的</w:t>
      </w:r>
      <w:r>
        <w:rPr>
          <w:rFonts w:hint="eastAsia" w:ascii="仿宋" w:hAnsi="仿宋" w:eastAsia="仿宋"/>
          <w:sz w:val="28"/>
          <w:szCs w:val="28"/>
        </w:rPr>
        <w:t>二次线</w:t>
      </w:r>
      <w:r>
        <w:rPr>
          <w:rFonts w:ascii="仿宋" w:hAnsi="仿宋" w:eastAsia="仿宋"/>
          <w:sz w:val="28"/>
          <w:szCs w:val="28"/>
        </w:rPr>
        <w:t>、调试；相关电气设备、继电保护系统、远动通讯系统的就位、连接、验收、调试应按照工程设计、电力系统相关验收规范进行；所有开关柜内高压断路器及二次接线的连接、接线需统一标准，满足断路器间互换要求。</w:t>
      </w:r>
    </w:p>
    <w:p w14:paraId="41ED3890">
      <w:pPr>
        <w:spacing w:line="560" w:lineRule="exact"/>
        <w:ind w:firstLine="560" w:firstLineChars="200"/>
        <w:rPr>
          <w:rFonts w:ascii="仿宋" w:hAnsi="仿宋" w:eastAsia="仿宋"/>
          <w:sz w:val="28"/>
          <w:szCs w:val="28"/>
        </w:rPr>
      </w:pPr>
      <w:r>
        <w:rPr>
          <w:rFonts w:hint="eastAsia" w:ascii="仿宋" w:hAnsi="仿宋" w:eastAsia="仿宋"/>
          <w:sz w:val="28"/>
          <w:szCs w:val="28"/>
        </w:rPr>
        <w:t>★2.3</w:t>
      </w:r>
      <w:r>
        <w:rPr>
          <w:rFonts w:ascii="仿宋" w:hAnsi="仿宋" w:eastAsia="仿宋"/>
          <w:sz w:val="28"/>
          <w:szCs w:val="28"/>
        </w:rPr>
        <w:t>干式变压器产品需为铜芯，</w:t>
      </w:r>
      <w:r>
        <w:rPr>
          <w:rFonts w:hint="eastAsia" w:ascii="仿宋" w:hAnsi="仿宋" w:eastAsia="仿宋"/>
          <w:sz w:val="28"/>
          <w:szCs w:val="28"/>
        </w:rPr>
        <w:t>严禁使用不合格材料，假一罚十</w:t>
      </w:r>
      <w:r>
        <w:rPr>
          <w:rFonts w:ascii="仿宋" w:hAnsi="仿宋" w:eastAsia="仿宋"/>
          <w:sz w:val="28"/>
          <w:szCs w:val="28"/>
        </w:rPr>
        <w:t>。验收、调试应按照国家颁发的工程设计、施工及验收规范、电力系统相关验收规范进行。桥架、封闭母线材料</w:t>
      </w:r>
      <w:r>
        <w:rPr>
          <w:rFonts w:hint="eastAsia" w:ascii="仿宋" w:hAnsi="仿宋" w:eastAsia="仿宋"/>
          <w:sz w:val="28"/>
          <w:szCs w:val="28"/>
        </w:rPr>
        <w:t>含</w:t>
      </w:r>
      <w:r>
        <w:rPr>
          <w:rFonts w:ascii="仿宋" w:hAnsi="仿宋" w:eastAsia="仿宋"/>
          <w:sz w:val="28"/>
          <w:szCs w:val="28"/>
        </w:rPr>
        <w:t>就位</w:t>
      </w:r>
      <w:r>
        <w:rPr>
          <w:rFonts w:hint="eastAsia" w:ascii="仿宋" w:hAnsi="仿宋" w:eastAsia="仿宋"/>
          <w:sz w:val="28"/>
          <w:szCs w:val="28"/>
        </w:rPr>
        <w:t>安装</w:t>
      </w:r>
      <w:r>
        <w:rPr>
          <w:rFonts w:ascii="仿宋" w:hAnsi="仿宋" w:eastAsia="仿宋"/>
          <w:sz w:val="28"/>
          <w:szCs w:val="28"/>
        </w:rPr>
        <w:t>工作，包质量及相关桥架、封闭母线系统的调试。</w:t>
      </w:r>
    </w:p>
    <w:p w14:paraId="70D6416B">
      <w:pPr>
        <w:spacing w:line="560" w:lineRule="exact"/>
        <w:ind w:firstLine="700" w:firstLineChars="250"/>
        <w:rPr>
          <w:rFonts w:ascii="仿宋" w:hAnsi="仿宋" w:eastAsia="仿宋"/>
          <w:sz w:val="28"/>
          <w:szCs w:val="28"/>
        </w:rPr>
      </w:pPr>
      <w:r>
        <w:rPr>
          <w:rFonts w:hint="eastAsia" w:ascii="仿宋" w:hAnsi="仿宋" w:eastAsia="仿宋"/>
          <w:sz w:val="28"/>
          <w:szCs w:val="28"/>
        </w:rPr>
        <w:t>★2.4.产品的验收按照国家标准、行业标准及国网验收规范进行，如相关产品所用工程项目验收中，属国网供电公司电源系统，未通过国网验收的情形，需方有权进行退货处理。</w:t>
      </w:r>
    </w:p>
    <w:p w14:paraId="6F46CCDA">
      <w:pPr>
        <w:spacing w:line="560" w:lineRule="exact"/>
        <w:ind w:firstLine="560" w:firstLineChars="200"/>
        <w:rPr>
          <w:rFonts w:ascii="仿宋" w:hAnsi="仿宋" w:eastAsia="仿宋"/>
          <w:sz w:val="28"/>
          <w:szCs w:val="28"/>
        </w:rPr>
      </w:pPr>
      <w:r>
        <w:rPr>
          <w:rFonts w:hint="eastAsia" w:ascii="仿宋" w:hAnsi="仿宋" w:eastAsia="仿宋"/>
          <w:sz w:val="28"/>
          <w:szCs w:val="28"/>
        </w:rPr>
        <w:t>2.5.成交人需随货提供产品合格证、生产许可证，出厂试验报告、型式报告等。</w:t>
      </w:r>
    </w:p>
    <w:p w14:paraId="06B697E5">
      <w:pPr>
        <w:spacing w:line="560" w:lineRule="exact"/>
        <w:ind w:firstLine="560" w:firstLineChars="200"/>
        <w:rPr>
          <w:rFonts w:ascii="仿宋" w:hAnsi="仿宋" w:eastAsia="仿宋"/>
          <w:sz w:val="28"/>
          <w:szCs w:val="28"/>
        </w:rPr>
      </w:pPr>
      <w:r>
        <w:rPr>
          <w:rFonts w:hint="eastAsia" w:ascii="仿宋" w:hAnsi="仿宋" w:eastAsia="仿宋"/>
          <w:sz w:val="28"/>
          <w:szCs w:val="28"/>
        </w:rPr>
        <w:t>★2.6.供货期：签订合同后20日内交货。</w:t>
      </w:r>
    </w:p>
    <w:p w14:paraId="22635C45">
      <w:pPr>
        <w:spacing w:line="560" w:lineRule="exact"/>
        <w:ind w:firstLine="840" w:firstLineChars="300"/>
        <w:rPr>
          <w:rFonts w:ascii="仿宋" w:hAnsi="仿宋" w:eastAsia="仿宋"/>
          <w:sz w:val="28"/>
          <w:szCs w:val="28"/>
        </w:rPr>
      </w:pPr>
      <w:r>
        <w:rPr>
          <w:rFonts w:hint="eastAsia" w:ascii="仿宋" w:hAnsi="仿宋" w:eastAsia="仿宋"/>
          <w:sz w:val="28"/>
          <w:szCs w:val="28"/>
        </w:rPr>
        <w:t>2.7.服务地点：采购人指定地点。</w:t>
      </w:r>
    </w:p>
    <w:p w14:paraId="71CE8ABC">
      <w:pPr>
        <w:pStyle w:val="4"/>
        <w:spacing w:before="0" w:after="0" w:line="560" w:lineRule="exact"/>
        <w:jc w:val="left"/>
        <w:rPr>
          <w:rFonts w:asciiTheme="minorEastAsia" w:hAnsiTheme="minorEastAsia" w:eastAsiaTheme="minorEastAsia"/>
          <w:sz w:val="28"/>
          <w:szCs w:val="28"/>
        </w:rPr>
      </w:pPr>
      <w:bookmarkStart w:id="28" w:name="_Toc184045620"/>
      <w:r>
        <w:rPr>
          <w:rFonts w:hint="eastAsia" w:asciiTheme="minorEastAsia" w:hAnsiTheme="minorEastAsia" w:eastAsiaTheme="minorEastAsia"/>
          <w:sz w:val="28"/>
          <w:szCs w:val="28"/>
        </w:rPr>
        <w:t>★3.付款方式</w:t>
      </w:r>
      <w:bookmarkEnd w:id="28"/>
    </w:p>
    <w:p w14:paraId="296B5970">
      <w:pPr>
        <w:widowControl/>
        <w:ind w:firstLine="280" w:firstLineChars="100"/>
        <w:jc w:val="left"/>
        <w:rPr>
          <w:rFonts w:ascii="仿宋" w:hAnsi="仿宋" w:eastAsia="仿宋"/>
          <w:sz w:val="28"/>
          <w:szCs w:val="28"/>
        </w:rPr>
      </w:pPr>
      <w:r>
        <w:rPr>
          <w:rFonts w:hint="eastAsia" w:ascii="仿宋" w:hAnsi="仿宋" w:eastAsia="仿宋"/>
          <w:sz w:val="28"/>
          <w:szCs w:val="28"/>
        </w:rPr>
        <w:t xml:space="preserve">  款项按照节点支付:合同签订后预付合同总价的 30%做为预付款，电气设备安装完成，并完成验收后，乙方应于完成验收的次月5日前提供全额的增值税发票(13%)，甲方收到发票后 30天内支付合同总额的50%;项目结算完成后 30日内，甲方根据财务资金情况付至合同总额的95%，剩余 5%为质量保证金。各节点款项支付均以甲方收到建设单位工程款项后予以同步支付。</w:t>
      </w:r>
    </w:p>
    <w:p w14:paraId="655D939C">
      <w:pPr>
        <w:pStyle w:val="4"/>
        <w:spacing w:before="0" w:after="0" w:line="560" w:lineRule="exact"/>
        <w:jc w:val="left"/>
        <w:rPr>
          <w:rFonts w:asciiTheme="minorEastAsia" w:hAnsiTheme="minorEastAsia" w:eastAsiaTheme="minorEastAsia"/>
          <w:sz w:val="28"/>
          <w:szCs w:val="28"/>
        </w:rPr>
      </w:pPr>
      <w:bookmarkStart w:id="29" w:name="_Toc184045621"/>
      <w:r>
        <w:rPr>
          <w:rFonts w:hint="eastAsia" w:asciiTheme="minorEastAsia" w:hAnsiTheme="minorEastAsia" w:eastAsiaTheme="minorEastAsia"/>
          <w:sz w:val="28"/>
          <w:szCs w:val="28"/>
        </w:rPr>
        <w:t>4.验收</w:t>
      </w:r>
      <w:bookmarkEnd w:id="29"/>
    </w:p>
    <w:p w14:paraId="67268728">
      <w:pPr>
        <w:spacing w:line="560" w:lineRule="exact"/>
        <w:ind w:firstLine="560" w:firstLineChars="200"/>
        <w:rPr>
          <w:rFonts w:ascii="仿宋" w:hAnsi="仿宋" w:eastAsia="仿宋"/>
          <w:sz w:val="28"/>
          <w:szCs w:val="28"/>
        </w:rPr>
      </w:pPr>
      <w:r>
        <w:rPr>
          <w:rFonts w:hint="eastAsia" w:ascii="仿宋" w:hAnsi="仿宋" w:eastAsia="仿宋"/>
          <w:sz w:val="28"/>
          <w:szCs w:val="28"/>
        </w:rPr>
        <w:t>货物运抵现场后，采购人将对货物数量、质量、规格等进行检验。如发现货物和规格或者两者都与采购文件、响应文件、合同不符，采购人有权限根据检验结果要求成交人立即更换或者提出索赔要求。</w:t>
      </w:r>
    </w:p>
    <w:p w14:paraId="51670D1F">
      <w:pPr>
        <w:pStyle w:val="4"/>
        <w:spacing w:before="0" w:after="0" w:line="560" w:lineRule="exact"/>
        <w:jc w:val="left"/>
        <w:rPr>
          <w:rFonts w:asciiTheme="minorEastAsia" w:hAnsiTheme="minorEastAsia" w:eastAsiaTheme="minorEastAsia"/>
          <w:sz w:val="28"/>
          <w:szCs w:val="28"/>
        </w:rPr>
      </w:pPr>
      <w:bookmarkStart w:id="30" w:name="_Toc184045622"/>
      <w:r>
        <w:rPr>
          <w:rFonts w:hint="eastAsia" w:asciiTheme="minorEastAsia" w:hAnsiTheme="minorEastAsia" w:eastAsiaTheme="minorEastAsia"/>
          <w:sz w:val="28"/>
          <w:szCs w:val="28"/>
        </w:rPr>
        <w:t>5.质量保证期</w:t>
      </w:r>
      <w:bookmarkEnd w:id="30"/>
    </w:p>
    <w:p w14:paraId="058530E1">
      <w:pPr>
        <w:spacing w:line="560" w:lineRule="exact"/>
        <w:ind w:firstLine="560" w:firstLineChars="200"/>
        <w:rPr>
          <w:rFonts w:ascii="仿宋" w:hAnsi="仿宋" w:eastAsia="仿宋"/>
          <w:sz w:val="28"/>
          <w:szCs w:val="28"/>
        </w:rPr>
      </w:pPr>
      <w:r>
        <w:rPr>
          <w:rFonts w:hint="eastAsia" w:ascii="仿宋" w:hAnsi="仿宋" w:eastAsia="仿宋"/>
          <w:sz w:val="28"/>
          <w:szCs w:val="28"/>
        </w:rPr>
        <w:t>质保期：质保期为两年，在质保期头三个月内，如产品运行有严重质量的问题或质量缺陷，供方应免费予以更换，以保证需方正常运行。</w:t>
      </w:r>
    </w:p>
    <w:p w14:paraId="1773EADE">
      <w:pPr>
        <w:pStyle w:val="4"/>
        <w:spacing w:before="0" w:after="0" w:line="560" w:lineRule="exact"/>
        <w:jc w:val="left"/>
        <w:rPr>
          <w:rFonts w:asciiTheme="minorEastAsia" w:hAnsiTheme="minorEastAsia" w:eastAsiaTheme="minorEastAsia"/>
          <w:sz w:val="28"/>
          <w:szCs w:val="28"/>
        </w:rPr>
      </w:pPr>
      <w:bookmarkStart w:id="31" w:name="_Toc184045623"/>
      <w:r>
        <w:rPr>
          <w:rFonts w:hint="eastAsia" w:asciiTheme="minorEastAsia" w:hAnsiTheme="minorEastAsia" w:eastAsiaTheme="minorEastAsia"/>
          <w:sz w:val="28"/>
          <w:szCs w:val="28"/>
        </w:rPr>
        <w:t>6.售后服务</w:t>
      </w:r>
      <w:bookmarkEnd w:id="31"/>
    </w:p>
    <w:p w14:paraId="3D0AB8BD">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31C626C4">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57CA4024">
      <w:pPr>
        <w:spacing w:line="560" w:lineRule="exact"/>
        <w:ind w:firstLine="560" w:firstLineChars="200"/>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21DC14B2">
      <w:r>
        <w:br w:type="page"/>
      </w:r>
    </w:p>
    <w:tbl>
      <w:tblPr>
        <w:tblStyle w:val="28"/>
        <w:tblW w:w="8600" w:type="dxa"/>
        <w:jc w:val="center"/>
        <w:tblLayout w:type="autofit"/>
        <w:tblCellMar>
          <w:top w:w="0" w:type="dxa"/>
          <w:left w:w="108" w:type="dxa"/>
          <w:bottom w:w="0" w:type="dxa"/>
          <w:right w:w="108" w:type="dxa"/>
        </w:tblCellMar>
      </w:tblPr>
      <w:tblGrid>
        <w:gridCol w:w="600"/>
        <w:gridCol w:w="1957"/>
        <w:gridCol w:w="3260"/>
        <w:gridCol w:w="2783"/>
      </w:tblGrid>
      <w:tr w14:paraId="26B3E513">
        <w:tblPrEx>
          <w:tblCellMar>
            <w:top w:w="0" w:type="dxa"/>
            <w:left w:w="108" w:type="dxa"/>
            <w:bottom w:w="0" w:type="dxa"/>
            <w:right w:w="108" w:type="dxa"/>
          </w:tblCellMar>
        </w:tblPrEx>
        <w:trPr>
          <w:trHeight w:val="375" w:hRule="atLeast"/>
          <w:jc w:val="center"/>
        </w:trPr>
        <w:tc>
          <w:tcPr>
            <w:tcW w:w="8600" w:type="dxa"/>
            <w:gridSpan w:val="4"/>
            <w:tcBorders>
              <w:top w:val="nil"/>
              <w:left w:val="nil"/>
              <w:bottom w:val="single" w:color="000000" w:sz="4" w:space="0"/>
              <w:right w:val="nil"/>
            </w:tcBorders>
            <w:noWrap/>
            <w:vAlign w:val="center"/>
          </w:tcPr>
          <w:p w14:paraId="49E50022">
            <w:pPr>
              <w:widowControl/>
              <w:jc w:val="center"/>
              <w:rPr>
                <w:rFonts w:ascii="仿宋" w:hAnsi="仿宋" w:eastAsia="仿宋" w:cs="宋体"/>
                <w:color w:val="000000"/>
                <w:kern w:val="0"/>
                <w:sz w:val="28"/>
                <w:szCs w:val="28"/>
              </w:rPr>
            </w:pPr>
            <w:r>
              <w:rPr>
                <w:rFonts w:hint="eastAsia" w:ascii="仿宋" w:hAnsi="仿宋" w:eastAsia="仿宋"/>
                <w:b/>
                <w:sz w:val="28"/>
                <w:szCs w:val="28"/>
              </w:rPr>
              <w:t>主要材料品牌技术配置表</w:t>
            </w:r>
          </w:p>
        </w:tc>
      </w:tr>
      <w:tr w14:paraId="48A2BE58">
        <w:tblPrEx>
          <w:tblCellMar>
            <w:top w:w="0" w:type="dxa"/>
            <w:left w:w="108" w:type="dxa"/>
            <w:bottom w:w="0" w:type="dxa"/>
            <w:right w:w="108" w:type="dxa"/>
          </w:tblCellMar>
        </w:tblPrEx>
        <w:trPr>
          <w:trHeight w:val="450" w:hRule="atLeast"/>
          <w:jc w:val="center"/>
        </w:trPr>
        <w:tc>
          <w:tcPr>
            <w:tcW w:w="600" w:type="dxa"/>
            <w:tcBorders>
              <w:top w:val="nil"/>
              <w:left w:val="single" w:color="000000" w:sz="4" w:space="0"/>
              <w:bottom w:val="single" w:color="000000" w:sz="4" w:space="0"/>
              <w:right w:val="single" w:color="000000" w:sz="4" w:space="0"/>
            </w:tcBorders>
            <w:vAlign w:val="center"/>
          </w:tcPr>
          <w:p w14:paraId="0796E079">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957" w:type="dxa"/>
            <w:tcBorders>
              <w:top w:val="nil"/>
              <w:left w:val="nil"/>
              <w:bottom w:val="single" w:color="000000" w:sz="4" w:space="0"/>
              <w:right w:val="single" w:color="000000" w:sz="4" w:space="0"/>
            </w:tcBorders>
            <w:vAlign w:val="center"/>
          </w:tcPr>
          <w:p w14:paraId="0B22C35D">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材料名称</w:t>
            </w:r>
          </w:p>
        </w:tc>
        <w:tc>
          <w:tcPr>
            <w:tcW w:w="3260" w:type="dxa"/>
            <w:tcBorders>
              <w:top w:val="nil"/>
              <w:left w:val="nil"/>
              <w:bottom w:val="single" w:color="000000" w:sz="4" w:space="0"/>
              <w:right w:val="single" w:color="000000" w:sz="4" w:space="0"/>
            </w:tcBorders>
            <w:vAlign w:val="center"/>
          </w:tcPr>
          <w:p w14:paraId="290E7331">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品牌</w:t>
            </w:r>
            <w:r>
              <w:rPr>
                <w:rFonts w:ascii="仿宋" w:hAnsi="仿宋" w:eastAsia="仿宋" w:cs="Calibri"/>
                <w:b/>
                <w:bCs/>
                <w:color w:val="000000"/>
                <w:kern w:val="0"/>
                <w:sz w:val="20"/>
                <w:szCs w:val="20"/>
              </w:rPr>
              <w:t>/</w:t>
            </w:r>
            <w:r>
              <w:rPr>
                <w:rFonts w:hint="eastAsia" w:ascii="仿宋" w:hAnsi="仿宋" w:eastAsia="仿宋" w:cs="宋体"/>
                <w:b/>
                <w:bCs/>
                <w:color w:val="000000"/>
                <w:kern w:val="0"/>
                <w:sz w:val="20"/>
                <w:szCs w:val="20"/>
              </w:rPr>
              <w:t>厂家范围</w:t>
            </w:r>
          </w:p>
        </w:tc>
        <w:tc>
          <w:tcPr>
            <w:tcW w:w="2783" w:type="dxa"/>
            <w:tcBorders>
              <w:top w:val="nil"/>
              <w:left w:val="nil"/>
              <w:bottom w:val="single" w:color="000000" w:sz="4" w:space="0"/>
              <w:right w:val="single" w:color="000000" w:sz="4" w:space="0"/>
            </w:tcBorders>
            <w:vAlign w:val="center"/>
          </w:tcPr>
          <w:p w14:paraId="0C47F2DD">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14:paraId="671957FE">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3AF84DE1">
            <w:pPr>
              <w:widowControl/>
              <w:jc w:val="center"/>
              <w:rPr>
                <w:rFonts w:ascii="仿宋" w:hAnsi="仿宋" w:eastAsia="仿宋" w:cs="Calibri"/>
                <w:kern w:val="0"/>
                <w:sz w:val="20"/>
                <w:szCs w:val="20"/>
              </w:rPr>
            </w:pPr>
            <w:r>
              <w:rPr>
                <w:rFonts w:hint="eastAsia" w:ascii="仿宋" w:hAnsi="仿宋" w:eastAsia="仿宋" w:cs="Calibri"/>
                <w:kern w:val="0"/>
                <w:sz w:val="20"/>
                <w:szCs w:val="20"/>
              </w:rPr>
              <w:t>1</w:t>
            </w:r>
          </w:p>
        </w:tc>
        <w:tc>
          <w:tcPr>
            <w:tcW w:w="1957" w:type="dxa"/>
            <w:tcBorders>
              <w:top w:val="nil"/>
              <w:left w:val="nil"/>
              <w:bottom w:val="single" w:color="000000" w:sz="4" w:space="0"/>
              <w:right w:val="single" w:color="000000" w:sz="4" w:space="0"/>
            </w:tcBorders>
            <w:vAlign w:val="center"/>
          </w:tcPr>
          <w:p w14:paraId="3E439F30">
            <w:pPr>
              <w:widowControl/>
              <w:jc w:val="left"/>
              <w:rPr>
                <w:rFonts w:ascii="仿宋" w:hAnsi="仿宋" w:eastAsia="仿宋" w:cstheme="minorBidi"/>
                <w:sz w:val="20"/>
                <w:szCs w:val="20"/>
              </w:rPr>
            </w:pPr>
            <w:r>
              <w:rPr>
                <w:rFonts w:hint="eastAsia" w:ascii="仿宋" w:hAnsi="仿宋" w:eastAsia="仿宋" w:cstheme="minorBidi"/>
                <w:sz w:val="20"/>
                <w:szCs w:val="20"/>
              </w:rPr>
              <w:t>10kV真空断路器</w:t>
            </w:r>
          </w:p>
        </w:tc>
        <w:tc>
          <w:tcPr>
            <w:tcW w:w="3260" w:type="dxa"/>
            <w:tcBorders>
              <w:top w:val="nil"/>
              <w:left w:val="nil"/>
              <w:bottom w:val="single" w:color="000000" w:sz="4" w:space="0"/>
              <w:right w:val="single" w:color="000000" w:sz="4" w:space="0"/>
            </w:tcBorders>
            <w:vAlign w:val="center"/>
          </w:tcPr>
          <w:p w14:paraId="5ED1277B">
            <w:pPr>
              <w:widowControl/>
              <w:jc w:val="left"/>
              <w:rPr>
                <w:rFonts w:ascii="仿宋" w:hAnsi="仿宋" w:eastAsia="仿宋" w:cstheme="minorBidi"/>
                <w:sz w:val="20"/>
                <w:szCs w:val="20"/>
              </w:rPr>
            </w:pPr>
            <w:r>
              <w:rPr>
                <w:rFonts w:hint="eastAsia" w:ascii="仿宋" w:hAnsi="仿宋" w:eastAsia="仿宋" w:cstheme="minorBidi"/>
                <w:sz w:val="20"/>
                <w:szCs w:val="20"/>
              </w:rPr>
              <w:t>上海人民、常熟开关、泰永长征、乐星产电、</w:t>
            </w:r>
            <w:r>
              <w:rPr>
                <w:rFonts w:hint="eastAsia" w:ascii="仿宋" w:hAnsi="仿宋" w:eastAsia="仿宋"/>
              </w:rPr>
              <w:t>杭申电气</w:t>
            </w:r>
          </w:p>
        </w:tc>
        <w:tc>
          <w:tcPr>
            <w:tcW w:w="2783" w:type="dxa"/>
            <w:tcBorders>
              <w:left w:val="nil"/>
              <w:bottom w:val="single" w:color="000000" w:sz="4" w:space="0"/>
              <w:right w:val="single" w:color="000000" w:sz="4" w:space="0"/>
            </w:tcBorders>
            <w:vAlign w:val="center"/>
          </w:tcPr>
          <w:p w14:paraId="18299530">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6229F977">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47573AFB">
            <w:pPr>
              <w:widowControl/>
              <w:jc w:val="center"/>
              <w:rPr>
                <w:rFonts w:ascii="仿宋" w:hAnsi="仿宋" w:eastAsia="仿宋" w:cs="Calibri"/>
                <w:kern w:val="0"/>
                <w:sz w:val="20"/>
                <w:szCs w:val="20"/>
              </w:rPr>
            </w:pPr>
            <w:r>
              <w:rPr>
                <w:rFonts w:hint="eastAsia" w:ascii="仿宋" w:hAnsi="仿宋" w:eastAsia="仿宋" w:cs="Calibri"/>
                <w:kern w:val="0"/>
                <w:sz w:val="20"/>
                <w:szCs w:val="20"/>
              </w:rPr>
              <w:t>2</w:t>
            </w:r>
          </w:p>
        </w:tc>
        <w:tc>
          <w:tcPr>
            <w:tcW w:w="1957" w:type="dxa"/>
            <w:tcBorders>
              <w:top w:val="nil"/>
              <w:left w:val="nil"/>
              <w:bottom w:val="single" w:color="000000" w:sz="4" w:space="0"/>
              <w:right w:val="single" w:color="000000" w:sz="4" w:space="0"/>
            </w:tcBorders>
            <w:vAlign w:val="center"/>
          </w:tcPr>
          <w:p w14:paraId="19BF0F35">
            <w:pPr>
              <w:widowControl/>
              <w:jc w:val="left"/>
              <w:rPr>
                <w:rFonts w:ascii="仿宋" w:hAnsi="仿宋" w:eastAsia="仿宋" w:cstheme="minorBidi"/>
                <w:sz w:val="20"/>
                <w:szCs w:val="20"/>
              </w:rPr>
            </w:pPr>
            <w:r>
              <w:rPr>
                <w:rFonts w:hint="eastAsia" w:ascii="仿宋" w:hAnsi="仿宋" w:eastAsia="仿宋" w:cstheme="minorBidi"/>
                <w:sz w:val="20"/>
                <w:szCs w:val="20"/>
              </w:rPr>
              <w:t>低压框架断路器</w:t>
            </w:r>
          </w:p>
        </w:tc>
        <w:tc>
          <w:tcPr>
            <w:tcW w:w="3260" w:type="dxa"/>
            <w:tcBorders>
              <w:top w:val="nil"/>
              <w:left w:val="nil"/>
              <w:bottom w:val="single" w:color="000000" w:sz="4" w:space="0"/>
              <w:right w:val="single" w:color="000000" w:sz="4" w:space="0"/>
            </w:tcBorders>
            <w:vAlign w:val="center"/>
          </w:tcPr>
          <w:p w14:paraId="42078A74">
            <w:pPr>
              <w:widowControl/>
              <w:jc w:val="left"/>
              <w:rPr>
                <w:rFonts w:ascii="仿宋" w:hAnsi="仿宋" w:eastAsia="仿宋" w:cstheme="minorBidi"/>
                <w:sz w:val="20"/>
                <w:szCs w:val="20"/>
              </w:rPr>
            </w:pPr>
            <w:r>
              <w:rPr>
                <w:rFonts w:hint="eastAsia" w:ascii="仿宋" w:hAnsi="仿宋" w:eastAsia="仿宋" w:cstheme="minorBidi"/>
                <w:sz w:val="20"/>
                <w:szCs w:val="20"/>
              </w:rPr>
              <w:t>上海人民RMW1、常熟开关CW3V、泰永长征MA41系列、乐星产电AN/AS系列、</w:t>
            </w:r>
            <w:r>
              <w:rPr>
                <w:rFonts w:hint="eastAsia" w:ascii="仿宋" w:hAnsi="仿宋" w:eastAsia="仿宋"/>
              </w:rPr>
              <w:t>杭申电气、正泰、德力西</w:t>
            </w:r>
          </w:p>
        </w:tc>
        <w:tc>
          <w:tcPr>
            <w:tcW w:w="2783" w:type="dxa"/>
            <w:tcBorders>
              <w:top w:val="nil"/>
              <w:left w:val="nil"/>
              <w:bottom w:val="single" w:color="000000" w:sz="4" w:space="0"/>
              <w:right w:val="single" w:color="000000" w:sz="4" w:space="0"/>
            </w:tcBorders>
            <w:vAlign w:val="center"/>
          </w:tcPr>
          <w:p w14:paraId="3CF7EF11">
            <w:pPr>
              <w:widowControl/>
              <w:jc w:val="left"/>
              <w:rPr>
                <w:rFonts w:ascii="仿宋" w:hAnsi="仿宋" w:eastAsia="仿宋" w:cstheme="minorBidi"/>
                <w:sz w:val="20"/>
                <w:szCs w:val="20"/>
              </w:rPr>
            </w:pPr>
            <w:r>
              <w:rPr>
                <w:rFonts w:hint="eastAsia" w:ascii="仿宋" w:hAnsi="仿宋" w:eastAsia="仿宋" w:cstheme="minorBidi"/>
                <w:sz w:val="20"/>
                <w:szCs w:val="20"/>
              </w:rPr>
              <w:t>极限分段能力达到80KA以上</w:t>
            </w:r>
          </w:p>
        </w:tc>
      </w:tr>
      <w:tr w14:paraId="5F5CF592">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518B53C2">
            <w:pPr>
              <w:widowControl/>
              <w:jc w:val="center"/>
              <w:rPr>
                <w:rFonts w:ascii="仿宋" w:hAnsi="仿宋" w:eastAsia="仿宋" w:cs="Calibri"/>
                <w:kern w:val="0"/>
                <w:sz w:val="20"/>
                <w:szCs w:val="20"/>
              </w:rPr>
            </w:pPr>
            <w:r>
              <w:rPr>
                <w:rFonts w:hint="eastAsia" w:ascii="仿宋" w:hAnsi="仿宋" w:eastAsia="仿宋" w:cs="Calibri"/>
                <w:kern w:val="0"/>
                <w:sz w:val="20"/>
                <w:szCs w:val="20"/>
              </w:rPr>
              <w:t>3</w:t>
            </w:r>
          </w:p>
        </w:tc>
        <w:tc>
          <w:tcPr>
            <w:tcW w:w="1957" w:type="dxa"/>
            <w:tcBorders>
              <w:top w:val="nil"/>
              <w:left w:val="nil"/>
              <w:bottom w:val="single" w:color="000000" w:sz="4" w:space="0"/>
              <w:right w:val="single" w:color="000000" w:sz="4" w:space="0"/>
            </w:tcBorders>
            <w:vAlign w:val="center"/>
          </w:tcPr>
          <w:p w14:paraId="224D6129">
            <w:pPr>
              <w:widowControl/>
              <w:jc w:val="left"/>
              <w:rPr>
                <w:rFonts w:ascii="仿宋" w:hAnsi="仿宋" w:eastAsia="仿宋" w:cstheme="minorBidi"/>
                <w:sz w:val="20"/>
                <w:szCs w:val="20"/>
              </w:rPr>
            </w:pPr>
            <w:r>
              <w:rPr>
                <w:rFonts w:hint="eastAsia" w:ascii="仿宋" w:hAnsi="仿宋" w:eastAsia="仿宋" w:cstheme="minorBidi"/>
                <w:sz w:val="20"/>
                <w:szCs w:val="20"/>
              </w:rPr>
              <w:t>低压塑壳断路器</w:t>
            </w:r>
          </w:p>
        </w:tc>
        <w:tc>
          <w:tcPr>
            <w:tcW w:w="3260" w:type="dxa"/>
            <w:tcBorders>
              <w:top w:val="nil"/>
              <w:left w:val="nil"/>
              <w:bottom w:val="single" w:color="000000" w:sz="4" w:space="0"/>
              <w:right w:val="single" w:color="000000" w:sz="4" w:space="0"/>
            </w:tcBorders>
            <w:vAlign w:val="center"/>
          </w:tcPr>
          <w:p w14:paraId="45C5F7F7">
            <w:pPr>
              <w:widowControl/>
              <w:jc w:val="left"/>
              <w:rPr>
                <w:rFonts w:ascii="仿宋" w:hAnsi="仿宋" w:eastAsia="仿宋" w:cstheme="minorBidi"/>
                <w:sz w:val="20"/>
                <w:szCs w:val="20"/>
              </w:rPr>
            </w:pPr>
            <w:r>
              <w:rPr>
                <w:rFonts w:hint="eastAsia" w:ascii="仿宋" w:hAnsi="仿宋" w:eastAsia="仿宋" w:cstheme="minorBidi"/>
                <w:sz w:val="20"/>
                <w:szCs w:val="20"/>
              </w:rPr>
              <w:t>上海人民RMM1、常熟开关CM5、泰永长征MB41系列、乐星产电ABS系列、</w:t>
            </w:r>
            <w:r>
              <w:rPr>
                <w:rFonts w:hint="eastAsia" w:ascii="仿宋" w:hAnsi="仿宋" w:eastAsia="仿宋"/>
              </w:rPr>
              <w:t>杭申电气、正泰、德力西</w:t>
            </w:r>
          </w:p>
        </w:tc>
        <w:tc>
          <w:tcPr>
            <w:tcW w:w="2783" w:type="dxa"/>
            <w:tcBorders>
              <w:top w:val="nil"/>
              <w:left w:val="nil"/>
              <w:bottom w:val="single" w:color="000000" w:sz="4" w:space="0"/>
              <w:right w:val="single" w:color="000000" w:sz="4" w:space="0"/>
            </w:tcBorders>
            <w:vAlign w:val="center"/>
          </w:tcPr>
          <w:p w14:paraId="572C12F7">
            <w:pPr>
              <w:widowControl/>
              <w:jc w:val="left"/>
              <w:rPr>
                <w:rFonts w:ascii="仿宋" w:hAnsi="仿宋" w:eastAsia="仿宋" w:cstheme="minorBidi"/>
                <w:sz w:val="20"/>
                <w:szCs w:val="20"/>
              </w:rPr>
            </w:pPr>
            <w:r>
              <w:rPr>
                <w:rFonts w:hint="eastAsia" w:ascii="仿宋" w:hAnsi="仿宋" w:eastAsia="仿宋" w:cstheme="minorBidi"/>
                <w:sz w:val="20"/>
                <w:szCs w:val="20"/>
              </w:rPr>
              <w:t>极限分段能力达到50KA以上</w:t>
            </w:r>
          </w:p>
        </w:tc>
      </w:tr>
      <w:tr w14:paraId="44797B86">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1801E6C1">
            <w:pPr>
              <w:widowControl/>
              <w:jc w:val="center"/>
              <w:rPr>
                <w:rFonts w:ascii="仿宋" w:hAnsi="仿宋" w:eastAsia="仿宋" w:cs="Calibri"/>
                <w:kern w:val="0"/>
                <w:sz w:val="20"/>
                <w:szCs w:val="20"/>
              </w:rPr>
            </w:pPr>
            <w:r>
              <w:rPr>
                <w:rFonts w:hint="eastAsia" w:ascii="仿宋" w:hAnsi="仿宋" w:eastAsia="仿宋" w:cs="Calibri"/>
                <w:kern w:val="0"/>
                <w:sz w:val="20"/>
                <w:szCs w:val="20"/>
              </w:rPr>
              <w:t>4</w:t>
            </w:r>
          </w:p>
        </w:tc>
        <w:tc>
          <w:tcPr>
            <w:tcW w:w="1957" w:type="dxa"/>
            <w:tcBorders>
              <w:top w:val="nil"/>
              <w:left w:val="nil"/>
              <w:bottom w:val="single" w:color="000000" w:sz="4" w:space="0"/>
              <w:right w:val="single" w:color="000000" w:sz="4" w:space="0"/>
            </w:tcBorders>
            <w:vAlign w:val="center"/>
          </w:tcPr>
          <w:p w14:paraId="2E372987">
            <w:pPr>
              <w:widowControl/>
              <w:jc w:val="left"/>
              <w:rPr>
                <w:rFonts w:ascii="仿宋" w:hAnsi="仿宋" w:eastAsia="仿宋" w:cstheme="minorBidi"/>
                <w:sz w:val="20"/>
                <w:szCs w:val="20"/>
              </w:rPr>
            </w:pPr>
            <w:r>
              <w:rPr>
                <w:rFonts w:hint="eastAsia" w:ascii="仿宋" w:hAnsi="仿宋" w:eastAsia="仿宋" w:cstheme="minorBidi"/>
                <w:sz w:val="20"/>
                <w:szCs w:val="20"/>
              </w:rPr>
              <w:t>10kV变压器（全铜）</w:t>
            </w:r>
          </w:p>
        </w:tc>
        <w:tc>
          <w:tcPr>
            <w:tcW w:w="3260" w:type="dxa"/>
            <w:tcBorders>
              <w:top w:val="nil"/>
              <w:left w:val="nil"/>
              <w:bottom w:val="single" w:color="000000" w:sz="4" w:space="0"/>
              <w:right w:val="single" w:color="000000" w:sz="4" w:space="0"/>
            </w:tcBorders>
            <w:vAlign w:val="center"/>
          </w:tcPr>
          <w:p w14:paraId="04C6F371">
            <w:pPr>
              <w:widowControl/>
              <w:jc w:val="left"/>
              <w:rPr>
                <w:rFonts w:ascii="仿宋" w:hAnsi="仿宋" w:eastAsia="仿宋" w:cstheme="minorBidi"/>
                <w:sz w:val="20"/>
                <w:szCs w:val="20"/>
              </w:rPr>
            </w:pPr>
            <w:r>
              <w:rPr>
                <w:rFonts w:hint="eastAsia" w:ascii="仿宋" w:hAnsi="仿宋" w:eastAsia="仿宋" w:cstheme="minorBidi"/>
                <w:sz w:val="20"/>
                <w:szCs w:val="20"/>
              </w:rPr>
              <w:t>青岛恒能、青岛特锐德、山东泰开、青岛青电、青岛恒生、江苏华辰、临清亿合、青岛海电</w:t>
            </w:r>
          </w:p>
        </w:tc>
        <w:tc>
          <w:tcPr>
            <w:tcW w:w="2783" w:type="dxa"/>
            <w:tcBorders>
              <w:top w:val="nil"/>
              <w:left w:val="nil"/>
              <w:bottom w:val="single" w:color="000000" w:sz="4" w:space="0"/>
              <w:right w:val="single" w:color="000000" w:sz="4" w:space="0"/>
            </w:tcBorders>
            <w:vAlign w:val="center"/>
          </w:tcPr>
          <w:p w14:paraId="06A830B8">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2C53ADEA">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7EE4C5D6">
            <w:pPr>
              <w:widowControl/>
              <w:jc w:val="center"/>
              <w:rPr>
                <w:rFonts w:ascii="仿宋" w:hAnsi="仿宋" w:eastAsia="仿宋" w:cs="Calibri"/>
                <w:kern w:val="0"/>
                <w:sz w:val="20"/>
                <w:szCs w:val="20"/>
              </w:rPr>
            </w:pPr>
            <w:r>
              <w:rPr>
                <w:rFonts w:hint="eastAsia" w:ascii="仿宋" w:hAnsi="仿宋" w:eastAsia="仿宋" w:cs="Calibri"/>
                <w:kern w:val="0"/>
                <w:sz w:val="20"/>
                <w:szCs w:val="20"/>
              </w:rPr>
              <w:t>5</w:t>
            </w:r>
          </w:p>
        </w:tc>
        <w:tc>
          <w:tcPr>
            <w:tcW w:w="1957" w:type="dxa"/>
            <w:tcBorders>
              <w:top w:val="nil"/>
              <w:left w:val="nil"/>
              <w:bottom w:val="single" w:color="000000" w:sz="4" w:space="0"/>
              <w:right w:val="single" w:color="000000" w:sz="4" w:space="0"/>
            </w:tcBorders>
            <w:vAlign w:val="center"/>
          </w:tcPr>
          <w:p w14:paraId="6AD9A012">
            <w:pPr>
              <w:widowControl/>
              <w:jc w:val="left"/>
              <w:rPr>
                <w:rFonts w:ascii="仿宋" w:hAnsi="仿宋" w:eastAsia="仿宋" w:cstheme="minorBidi"/>
                <w:sz w:val="20"/>
                <w:szCs w:val="20"/>
              </w:rPr>
            </w:pPr>
            <w:r>
              <w:rPr>
                <w:rFonts w:hint="eastAsia" w:ascii="仿宋" w:hAnsi="仿宋" w:eastAsia="仿宋" w:cstheme="minorBidi"/>
                <w:sz w:val="20"/>
                <w:szCs w:val="20"/>
              </w:rPr>
              <w:t>多功能电力仪表</w:t>
            </w:r>
          </w:p>
        </w:tc>
        <w:tc>
          <w:tcPr>
            <w:tcW w:w="3260" w:type="dxa"/>
            <w:tcBorders>
              <w:top w:val="nil"/>
              <w:left w:val="nil"/>
              <w:bottom w:val="single" w:color="000000" w:sz="4" w:space="0"/>
              <w:right w:val="single" w:color="000000" w:sz="4" w:space="0"/>
            </w:tcBorders>
            <w:vAlign w:val="center"/>
          </w:tcPr>
          <w:p w14:paraId="65ADD134">
            <w:pPr>
              <w:widowControl/>
              <w:jc w:val="left"/>
              <w:rPr>
                <w:rFonts w:ascii="仿宋" w:hAnsi="仿宋" w:eastAsia="仿宋" w:cstheme="minorBidi"/>
                <w:sz w:val="20"/>
                <w:szCs w:val="20"/>
              </w:rPr>
            </w:pPr>
            <w:r>
              <w:rPr>
                <w:rFonts w:hint="eastAsia" w:ascii="仿宋" w:hAnsi="仿宋" w:eastAsia="仿宋"/>
                <w:sz w:val="20"/>
                <w:szCs w:val="20"/>
              </w:rPr>
              <w:t>伊顿电力、上海安科瑞、北京德威特、许继、帝森南自</w:t>
            </w:r>
          </w:p>
        </w:tc>
        <w:tc>
          <w:tcPr>
            <w:tcW w:w="2783" w:type="dxa"/>
            <w:tcBorders>
              <w:top w:val="nil"/>
              <w:left w:val="nil"/>
              <w:bottom w:val="single" w:color="000000" w:sz="4" w:space="0"/>
              <w:right w:val="single" w:color="000000" w:sz="4" w:space="0"/>
            </w:tcBorders>
            <w:vAlign w:val="center"/>
          </w:tcPr>
          <w:p w14:paraId="6363124A">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5243BBD7">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28EAB684">
            <w:pPr>
              <w:widowControl/>
              <w:jc w:val="center"/>
              <w:rPr>
                <w:rFonts w:ascii="仿宋" w:hAnsi="仿宋" w:eastAsia="仿宋" w:cs="Calibri"/>
                <w:kern w:val="0"/>
                <w:sz w:val="20"/>
                <w:szCs w:val="20"/>
              </w:rPr>
            </w:pPr>
            <w:r>
              <w:rPr>
                <w:rFonts w:hint="eastAsia" w:ascii="仿宋" w:hAnsi="仿宋" w:eastAsia="仿宋" w:cs="Calibri"/>
                <w:kern w:val="0"/>
                <w:sz w:val="20"/>
                <w:szCs w:val="20"/>
              </w:rPr>
              <w:t>6</w:t>
            </w:r>
          </w:p>
        </w:tc>
        <w:tc>
          <w:tcPr>
            <w:tcW w:w="1957" w:type="dxa"/>
            <w:tcBorders>
              <w:top w:val="nil"/>
              <w:left w:val="nil"/>
              <w:bottom w:val="single" w:color="000000" w:sz="4" w:space="0"/>
              <w:right w:val="single" w:color="000000" w:sz="4" w:space="0"/>
            </w:tcBorders>
            <w:vAlign w:val="center"/>
          </w:tcPr>
          <w:p w14:paraId="120F6A33">
            <w:pPr>
              <w:widowControl/>
              <w:jc w:val="left"/>
              <w:rPr>
                <w:rFonts w:ascii="仿宋" w:hAnsi="仿宋" w:eastAsia="仿宋" w:cstheme="minorBidi"/>
                <w:sz w:val="20"/>
                <w:szCs w:val="20"/>
              </w:rPr>
            </w:pPr>
            <w:r>
              <w:rPr>
                <w:rFonts w:hint="eastAsia" w:ascii="仿宋" w:hAnsi="仿宋" w:eastAsia="仿宋" w:cstheme="minorBidi"/>
                <w:sz w:val="20"/>
                <w:szCs w:val="20"/>
              </w:rPr>
              <w:t>微机保护及智能操控装置</w:t>
            </w:r>
          </w:p>
        </w:tc>
        <w:tc>
          <w:tcPr>
            <w:tcW w:w="3260" w:type="dxa"/>
            <w:tcBorders>
              <w:top w:val="nil"/>
              <w:left w:val="nil"/>
              <w:bottom w:val="single" w:color="000000" w:sz="4" w:space="0"/>
              <w:right w:val="single" w:color="000000" w:sz="4" w:space="0"/>
            </w:tcBorders>
            <w:vAlign w:val="center"/>
          </w:tcPr>
          <w:p w14:paraId="6ECDA30F">
            <w:pPr>
              <w:widowControl/>
              <w:jc w:val="left"/>
              <w:rPr>
                <w:rFonts w:ascii="仿宋" w:hAnsi="仿宋" w:eastAsia="仿宋" w:cstheme="minorBidi"/>
                <w:sz w:val="20"/>
                <w:szCs w:val="20"/>
              </w:rPr>
            </w:pPr>
            <w:r>
              <w:rPr>
                <w:rFonts w:hint="eastAsia" w:ascii="仿宋" w:hAnsi="仿宋" w:eastAsia="仿宋"/>
                <w:sz w:val="20"/>
                <w:szCs w:val="20"/>
              </w:rPr>
              <w:t>威海锐恩、国电南瑞、上海安科瑞、许继、帝森南自</w:t>
            </w:r>
          </w:p>
        </w:tc>
        <w:tc>
          <w:tcPr>
            <w:tcW w:w="2783" w:type="dxa"/>
            <w:tcBorders>
              <w:top w:val="nil"/>
              <w:left w:val="nil"/>
              <w:bottom w:val="single" w:color="000000" w:sz="4" w:space="0"/>
              <w:right w:val="single" w:color="000000" w:sz="4" w:space="0"/>
            </w:tcBorders>
            <w:vAlign w:val="center"/>
          </w:tcPr>
          <w:p w14:paraId="58156550">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07BEDD54">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727F0CFC">
            <w:pPr>
              <w:widowControl/>
              <w:jc w:val="center"/>
              <w:rPr>
                <w:rFonts w:ascii="仿宋" w:hAnsi="仿宋" w:eastAsia="仿宋" w:cs="Calibri"/>
                <w:kern w:val="0"/>
                <w:sz w:val="20"/>
                <w:szCs w:val="20"/>
              </w:rPr>
            </w:pPr>
            <w:r>
              <w:rPr>
                <w:rFonts w:hint="eastAsia" w:ascii="仿宋" w:hAnsi="仿宋" w:eastAsia="仿宋" w:cs="Calibri"/>
                <w:kern w:val="0"/>
                <w:sz w:val="20"/>
                <w:szCs w:val="20"/>
              </w:rPr>
              <w:t>7</w:t>
            </w:r>
          </w:p>
        </w:tc>
        <w:tc>
          <w:tcPr>
            <w:tcW w:w="1957" w:type="dxa"/>
            <w:tcBorders>
              <w:top w:val="nil"/>
              <w:left w:val="nil"/>
              <w:bottom w:val="single" w:color="000000" w:sz="4" w:space="0"/>
              <w:right w:val="single" w:color="000000" w:sz="4" w:space="0"/>
            </w:tcBorders>
            <w:vAlign w:val="center"/>
          </w:tcPr>
          <w:p w14:paraId="3DFB5218">
            <w:pPr>
              <w:widowControl/>
              <w:jc w:val="left"/>
              <w:rPr>
                <w:rFonts w:ascii="仿宋" w:hAnsi="仿宋" w:eastAsia="仿宋" w:cstheme="minorBidi"/>
                <w:sz w:val="20"/>
                <w:szCs w:val="20"/>
              </w:rPr>
            </w:pPr>
            <w:r>
              <w:rPr>
                <w:rFonts w:hint="eastAsia" w:ascii="仿宋" w:hAnsi="仿宋" w:eastAsia="仿宋" w:cstheme="minorBidi"/>
                <w:sz w:val="20"/>
                <w:szCs w:val="20"/>
              </w:rPr>
              <w:t>电压及电流互感器</w:t>
            </w:r>
          </w:p>
        </w:tc>
        <w:tc>
          <w:tcPr>
            <w:tcW w:w="3260" w:type="dxa"/>
            <w:tcBorders>
              <w:top w:val="nil"/>
              <w:left w:val="nil"/>
              <w:bottom w:val="single" w:color="000000" w:sz="4" w:space="0"/>
              <w:right w:val="single" w:color="000000" w:sz="4" w:space="0"/>
            </w:tcBorders>
            <w:noWrap/>
            <w:vAlign w:val="center"/>
          </w:tcPr>
          <w:p w14:paraId="049665A8">
            <w:pPr>
              <w:widowControl/>
              <w:jc w:val="left"/>
              <w:rPr>
                <w:rFonts w:ascii="仿宋" w:hAnsi="仿宋" w:eastAsia="仿宋" w:cstheme="minorBidi"/>
                <w:sz w:val="20"/>
                <w:szCs w:val="20"/>
              </w:rPr>
            </w:pPr>
            <w:r>
              <w:rPr>
                <w:rFonts w:hint="eastAsia" w:ascii="仿宋" w:hAnsi="仿宋" w:eastAsia="仿宋" w:cstheme="minorBidi"/>
                <w:sz w:val="20"/>
                <w:szCs w:val="20"/>
              </w:rPr>
              <w:t>大连北方、大连一互、大连二互</w:t>
            </w:r>
          </w:p>
        </w:tc>
        <w:tc>
          <w:tcPr>
            <w:tcW w:w="2783" w:type="dxa"/>
            <w:tcBorders>
              <w:top w:val="nil"/>
              <w:left w:val="nil"/>
              <w:bottom w:val="single" w:color="000000" w:sz="4" w:space="0"/>
              <w:right w:val="single" w:color="000000" w:sz="4" w:space="0"/>
            </w:tcBorders>
            <w:vAlign w:val="center"/>
          </w:tcPr>
          <w:p w14:paraId="1C9242E6">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3FF7F41D">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50D75DB">
            <w:pPr>
              <w:widowControl/>
              <w:jc w:val="center"/>
              <w:rPr>
                <w:rFonts w:ascii="仿宋" w:hAnsi="仿宋" w:eastAsia="仿宋" w:cs="Calibri"/>
                <w:kern w:val="0"/>
                <w:sz w:val="20"/>
                <w:szCs w:val="20"/>
              </w:rPr>
            </w:pPr>
            <w:r>
              <w:rPr>
                <w:rFonts w:hint="eastAsia" w:ascii="仿宋" w:hAnsi="仿宋" w:eastAsia="仿宋" w:cs="Calibri"/>
                <w:kern w:val="0"/>
                <w:sz w:val="20"/>
                <w:szCs w:val="20"/>
              </w:rPr>
              <w:t>8</w:t>
            </w:r>
          </w:p>
        </w:tc>
        <w:tc>
          <w:tcPr>
            <w:tcW w:w="1957" w:type="dxa"/>
            <w:tcBorders>
              <w:top w:val="nil"/>
              <w:left w:val="nil"/>
              <w:bottom w:val="single" w:color="000000" w:sz="4" w:space="0"/>
              <w:right w:val="single" w:color="000000" w:sz="4" w:space="0"/>
            </w:tcBorders>
            <w:vAlign w:val="center"/>
          </w:tcPr>
          <w:p w14:paraId="12BE6415">
            <w:pPr>
              <w:widowControl/>
              <w:jc w:val="left"/>
              <w:rPr>
                <w:rFonts w:ascii="仿宋" w:hAnsi="仿宋" w:eastAsia="仿宋" w:cstheme="minorBidi"/>
                <w:sz w:val="20"/>
                <w:szCs w:val="20"/>
              </w:rPr>
            </w:pPr>
            <w:r>
              <w:rPr>
                <w:rFonts w:hint="eastAsia" w:ascii="仿宋" w:hAnsi="仿宋" w:eastAsia="仿宋" w:cstheme="minorBidi"/>
                <w:sz w:val="20"/>
                <w:szCs w:val="20"/>
              </w:rPr>
              <w:t xml:space="preserve">低压有源滤波、电容、电抗: </w:t>
            </w:r>
          </w:p>
        </w:tc>
        <w:tc>
          <w:tcPr>
            <w:tcW w:w="3260" w:type="dxa"/>
            <w:tcBorders>
              <w:top w:val="nil"/>
              <w:left w:val="nil"/>
              <w:bottom w:val="single" w:color="000000" w:sz="4" w:space="0"/>
              <w:right w:val="single" w:color="000000" w:sz="4" w:space="0"/>
            </w:tcBorders>
            <w:noWrap/>
            <w:vAlign w:val="center"/>
          </w:tcPr>
          <w:p w14:paraId="24722D59">
            <w:pPr>
              <w:widowControl/>
              <w:jc w:val="left"/>
              <w:rPr>
                <w:rFonts w:ascii="仿宋" w:hAnsi="仿宋" w:eastAsia="仿宋" w:cstheme="minorBidi"/>
                <w:sz w:val="20"/>
                <w:szCs w:val="20"/>
              </w:rPr>
            </w:pPr>
            <w:r>
              <w:rPr>
                <w:rFonts w:hint="eastAsia" w:ascii="仿宋" w:hAnsi="仿宋" w:eastAsia="仿宋"/>
                <w:bCs/>
                <w:sz w:val="20"/>
                <w:szCs w:val="20"/>
              </w:rPr>
              <w:t>上海正尔、北京昊威尔、轶丝科那、浙江南德、莱提电气、莱宝、指月</w:t>
            </w:r>
          </w:p>
        </w:tc>
        <w:tc>
          <w:tcPr>
            <w:tcW w:w="2783" w:type="dxa"/>
            <w:tcBorders>
              <w:top w:val="nil"/>
              <w:left w:val="nil"/>
              <w:bottom w:val="single" w:color="000000" w:sz="4" w:space="0"/>
              <w:right w:val="single" w:color="000000" w:sz="4" w:space="0"/>
            </w:tcBorders>
            <w:vAlign w:val="center"/>
          </w:tcPr>
          <w:p w14:paraId="04B54013">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43865014">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7B890EB">
            <w:pPr>
              <w:widowControl/>
              <w:jc w:val="center"/>
              <w:rPr>
                <w:rFonts w:ascii="仿宋" w:hAnsi="仿宋" w:eastAsia="仿宋" w:cs="Calibri"/>
                <w:kern w:val="0"/>
                <w:sz w:val="20"/>
                <w:szCs w:val="20"/>
              </w:rPr>
            </w:pPr>
            <w:r>
              <w:rPr>
                <w:rFonts w:hint="eastAsia" w:ascii="仿宋" w:hAnsi="仿宋" w:eastAsia="仿宋" w:cs="Calibri"/>
                <w:kern w:val="0"/>
                <w:sz w:val="20"/>
                <w:szCs w:val="20"/>
              </w:rPr>
              <w:t>9</w:t>
            </w:r>
          </w:p>
        </w:tc>
        <w:tc>
          <w:tcPr>
            <w:tcW w:w="1957" w:type="dxa"/>
            <w:tcBorders>
              <w:top w:val="nil"/>
              <w:left w:val="nil"/>
              <w:bottom w:val="single" w:color="000000" w:sz="4" w:space="0"/>
              <w:right w:val="single" w:color="000000" w:sz="4" w:space="0"/>
            </w:tcBorders>
            <w:vAlign w:val="center"/>
          </w:tcPr>
          <w:p w14:paraId="777769D9">
            <w:pPr>
              <w:widowControl/>
              <w:jc w:val="left"/>
              <w:rPr>
                <w:rFonts w:ascii="仿宋" w:hAnsi="仿宋" w:eastAsia="仿宋" w:cstheme="minorBidi"/>
                <w:sz w:val="20"/>
                <w:szCs w:val="20"/>
              </w:rPr>
            </w:pPr>
            <w:r>
              <w:rPr>
                <w:rFonts w:hint="eastAsia" w:ascii="仿宋" w:hAnsi="仿宋" w:eastAsia="仿宋" w:cstheme="minorBidi"/>
                <w:sz w:val="20"/>
                <w:szCs w:val="20"/>
              </w:rPr>
              <w:t>火灾监控及主机</w:t>
            </w:r>
          </w:p>
        </w:tc>
        <w:tc>
          <w:tcPr>
            <w:tcW w:w="3260" w:type="dxa"/>
            <w:tcBorders>
              <w:top w:val="nil"/>
              <w:left w:val="nil"/>
              <w:bottom w:val="single" w:color="000000" w:sz="4" w:space="0"/>
              <w:right w:val="single" w:color="000000" w:sz="4" w:space="0"/>
            </w:tcBorders>
            <w:vAlign w:val="center"/>
          </w:tcPr>
          <w:p w14:paraId="222D6550">
            <w:pPr>
              <w:widowControl/>
              <w:jc w:val="left"/>
              <w:rPr>
                <w:rFonts w:ascii="仿宋" w:hAnsi="仿宋" w:eastAsia="仿宋" w:cstheme="minorBidi"/>
                <w:sz w:val="20"/>
                <w:szCs w:val="20"/>
              </w:rPr>
            </w:pPr>
            <w:r>
              <w:rPr>
                <w:rFonts w:hint="eastAsia" w:ascii="仿宋" w:hAnsi="仿宋" w:eastAsia="仿宋"/>
                <w:sz w:val="20"/>
                <w:szCs w:val="20"/>
              </w:rPr>
              <w:t>施耐德万高、上海安科瑞、北京利达、</w:t>
            </w:r>
            <w:r>
              <w:rPr>
                <w:rFonts w:hint="eastAsia" w:ascii="仿宋" w:hAnsi="仿宋" w:eastAsia="仿宋"/>
                <w:szCs w:val="21"/>
              </w:rPr>
              <w:t>爱博精电</w:t>
            </w:r>
          </w:p>
        </w:tc>
        <w:tc>
          <w:tcPr>
            <w:tcW w:w="2783" w:type="dxa"/>
            <w:tcBorders>
              <w:top w:val="nil"/>
              <w:left w:val="nil"/>
              <w:bottom w:val="single" w:color="000000" w:sz="4" w:space="0"/>
              <w:right w:val="single" w:color="000000" w:sz="4" w:space="0"/>
            </w:tcBorders>
            <w:vAlign w:val="center"/>
          </w:tcPr>
          <w:p w14:paraId="559A0851">
            <w:pPr>
              <w:widowControl/>
              <w:jc w:val="left"/>
              <w:rPr>
                <w:rFonts w:ascii="仿宋" w:hAnsi="仿宋" w:eastAsia="仿宋" w:cstheme="minorBidi"/>
                <w:sz w:val="20"/>
                <w:szCs w:val="20"/>
              </w:rPr>
            </w:pPr>
            <w:r>
              <w:rPr>
                <w:rFonts w:hint="eastAsia" w:ascii="仿宋" w:hAnsi="仿宋" w:eastAsia="仿宋" w:cstheme="minorBidi"/>
                <w:sz w:val="20"/>
                <w:szCs w:val="20"/>
              </w:rPr>
              <w:t>国产一线</w:t>
            </w:r>
          </w:p>
        </w:tc>
      </w:tr>
      <w:tr w14:paraId="1B85766D">
        <w:tblPrEx>
          <w:tblCellMar>
            <w:top w:w="0" w:type="dxa"/>
            <w:left w:w="108" w:type="dxa"/>
            <w:bottom w:w="0" w:type="dxa"/>
            <w:right w:w="108" w:type="dxa"/>
          </w:tblCellMar>
        </w:tblPrEx>
        <w:trPr>
          <w:trHeight w:val="1269" w:hRule="atLeast"/>
          <w:jc w:val="center"/>
        </w:trPr>
        <w:tc>
          <w:tcPr>
            <w:tcW w:w="8600" w:type="dxa"/>
            <w:gridSpan w:val="4"/>
            <w:tcBorders>
              <w:top w:val="single" w:color="000000" w:sz="4" w:space="0"/>
              <w:left w:val="single" w:color="000000" w:sz="4" w:space="0"/>
              <w:bottom w:val="single" w:color="000000" w:sz="4" w:space="0"/>
              <w:right w:val="single" w:color="000000" w:sz="4" w:space="0"/>
            </w:tcBorders>
          </w:tcPr>
          <w:p w14:paraId="746C2FFB">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备注：电力工程投标单位需提供投标选用元器件针对本项目设备采购供应商的授权文件扫描件，授权方必须是指定范围元器件生产厂家或其合法授权的经销商、代理商，项目授权方若为授权经销商、代理商的，需提供元器件生产厂家对经销商或代理商的项目授权书（或授权书复印件加盖公章）。</w:t>
            </w:r>
            <w:r>
              <w:rPr>
                <w:rFonts w:hint="eastAsia" w:ascii="仿宋" w:hAnsi="仿宋" w:eastAsia="仿宋"/>
                <w:sz w:val="20"/>
                <w:szCs w:val="20"/>
                <w:lang w:val="zh-CN"/>
              </w:rPr>
              <w:t>其他未尽事项，按照图纸设计，满足设计要求。</w:t>
            </w:r>
          </w:p>
        </w:tc>
      </w:tr>
    </w:tbl>
    <w:p w14:paraId="241C9490">
      <w:pPr>
        <w:spacing w:line="360" w:lineRule="auto"/>
        <w:rPr>
          <w:rFonts w:ascii="仿宋" w:hAnsi="仿宋" w:eastAsia="仿宋"/>
          <w:b/>
          <w:bCs/>
          <w:sz w:val="28"/>
          <w:szCs w:val="28"/>
        </w:rPr>
      </w:pPr>
    </w:p>
    <w:p w14:paraId="5F345DD1">
      <w:pPr>
        <w:widowControl/>
        <w:jc w:val="left"/>
        <w:rPr>
          <w:rFonts w:ascii="仿宋" w:hAnsi="仿宋" w:eastAsia="仿宋"/>
          <w:b/>
          <w:bCs/>
          <w:sz w:val="28"/>
          <w:szCs w:val="28"/>
        </w:rPr>
      </w:pPr>
      <w:r>
        <w:rPr>
          <w:rFonts w:ascii="仿宋" w:hAnsi="仿宋" w:eastAsia="仿宋"/>
          <w:b/>
          <w:bCs/>
          <w:sz w:val="28"/>
          <w:szCs w:val="28"/>
        </w:rPr>
        <w:br w:type="page"/>
      </w:r>
    </w:p>
    <w:p w14:paraId="6154FD80">
      <w:pPr>
        <w:spacing w:line="560" w:lineRule="exact"/>
        <w:outlineLvl w:val="0"/>
        <w:rPr>
          <w:rFonts w:ascii="仿宋" w:hAnsi="仿宋" w:eastAsia="仿宋" w:cs="黑体"/>
          <w:b/>
          <w:bCs/>
          <w:sz w:val="28"/>
          <w:szCs w:val="28"/>
        </w:rPr>
      </w:pPr>
      <w:bookmarkStart w:id="32" w:name="_Toc184045624"/>
      <w:r>
        <w:rPr>
          <w:rFonts w:hint="eastAsia" w:ascii="仿宋" w:hAnsi="仿宋" w:eastAsia="仿宋"/>
          <w:b/>
          <w:bCs/>
          <w:sz w:val="28"/>
          <w:szCs w:val="28"/>
        </w:rPr>
        <w:t>附录</w:t>
      </w:r>
      <w:r>
        <w:rPr>
          <w:rFonts w:hint="eastAsia" w:ascii="仿宋" w:hAnsi="仿宋" w:eastAsia="仿宋"/>
          <w:b/>
          <w:sz w:val="28"/>
          <w:szCs w:val="28"/>
        </w:rPr>
        <w:t>：</w:t>
      </w:r>
      <w:r>
        <w:rPr>
          <w:rFonts w:hint="eastAsia" w:ascii="仿宋" w:hAnsi="仿宋" w:eastAsia="仿宋" w:cs="黑体"/>
          <w:b/>
          <w:bCs/>
          <w:sz w:val="28"/>
          <w:szCs w:val="28"/>
        </w:rPr>
        <w:t>3号能源站二期变配电工程</w:t>
      </w:r>
      <w:r>
        <w:rPr>
          <w:rFonts w:hint="eastAsia" w:ascii="仿宋" w:hAnsi="仿宋" w:eastAsia="仿宋"/>
          <w:b/>
          <w:bCs/>
          <w:sz w:val="28"/>
          <w:szCs w:val="28"/>
        </w:rPr>
        <w:t>变配电设备</w:t>
      </w:r>
      <w:r>
        <w:rPr>
          <w:rFonts w:hint="eastAsia" w:ascii="仿宋" w:hAnsi="仿宋" w:eastAsia="仿宋" w:cs="黑体"/>
          <w:b/>
          <w:bCs/>
          <w:sz w:val="28"/>
          <w:szCs w:val="28"/>
        </w:rPr>
        <w:t>采购</w:t>
      </w:r>
      <w:r>
        <w:rPr>
          <w:rFonts w:hint="eastAsia" w:ascii="仿宋" w:hAnsi="仿宋" w:eastAsia="仿宋"/>
          <w:b/>
          <w:bCs/>
          <w:sz w:val="28"/>
          <w:szCs w:val="28"/>
        </w:rPr>
        <w:t>清单控制价（含税价，增值税税率为13%）</w:t>
      </w:r>
      <w:bookmarkEnd w:id="32"/>
    </w:p>
    <w:tbl>
      <w:tblPr>
        <w:tblStyle w:val="28"/>
        <w:tblW w:w="0" w:type="auto"/>
        <w:tblInd w:w="93" w:type="dxa"/>
        <w:tblLayout w:type="autofit"/>
        <w:tblCellMar>
          <w:top w:w="0" w:type="dxa"/>
          <w:left w:w="108" w:type="dxa"/>
          <w:bottom w:w="0" w:type="dxa"/>
          <w:right w:w="108" w:type="dxa"/>
        </w:tblCellMar>
      </w:tblPr>
      <w:tblGrid>
        <w:gridCol w:w="576"/>
        <w:gridCol w:w="1209"/>
        <w:gridCol w:w="2858"/>
        <w:gridCol w:w="576"/>
        <w:gridCol w:w="936"/>
        <w:gridCol w:w="1231"/>
        <w:gridCol w:w="1298"/>
        <w:gridCol w:w="509"/>
      </w:tblGrid>
      <w:tr w14:paraId="51C2972E">
        <w:tblPrEx>
          <w:tblCellMar>
            <w:top w:w="0" w:type="dxa"/>
            <w:left w:w="108" w:type="dxa"/>
            <w:bottom w:w="0" w:type="dxa"/>
            <w:right w:w="108" w:type="dxa"/>
          </w:tblCellMar>
        </w:tblPrEx>
        <w:trPr>
          <w:trHeight w:val="8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743B0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C66FCD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材料名称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8126A5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规格型号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08DB58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A93FD7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采购数量</w:t>
            </w:r>
          </w:p>
        </w:tc>
        <w:tc>
          <w:tcPr>
            <w:tcW w:w="0" w:type="auto"/>
            <w:tcBorders>
              <w:top w:val="single" w:color="auto" w:sz="4" w:space="0"/>
              <w:left w:val="nil"/>
              <w:bottom w:val="single" w:color="auto" w:sz="4" w:space="0"/>
              <w:right w:val="single" w:color="auto" w:sz="4" w:space="0"/>
            </w:tcBorders>
            <w:shd w:val="clear" w:color="auto" w:fill="auto"/>
            <w:vAlign w:val="center"/>
          </w:tcPr>
          <w:p w14:paraId="0EF9163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采购控制单价（元）</w:t>
            </w:r>
          </w:p>
        </w:tc>
        <w:tc>
          <w:tcPr>
            <w:tcW w:w="0" w:type="auto"/>
            <w:tcBorders>
              <w:top w:val="single" w:color="auto" w:sz="4" w:space="0"/>
              <w:left w:val="nil"/>
              <w:bottom w:val="single" w:color="auto" w:sz="4" w:space="0"/>
              <w:right w:val="single" w:color="auto" w:sz="4" w:space="0"/>
            </w:tcBorders>
            <w:shd w:val="clear" w:color="auto" w:fill="auto"/>
            <w:vAlign w:val="center"/>
          </w:tcPr>
          <w:p w14:paraId="3A5A4C3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采购控制总价（元）</w:t>
            </w:r>
          </w:p>
        </w:tc>
        <w:tc>
          <w:tcPr>
            <w:tcW w:w="0" w:type="auto"/>
            <w:tcBorders>
              <w:top w:val="single" w:color="auto" w:sz="4" w:space="0"/>
              <w:left w:val="nil"/>
              <w:bottom w:val="single" w:color="auto" w:sz="4" w:space="0"/>
              <w:right w:val="single" w:color="auto" w:sz="4" w:space="0"/>
            </w:tcBorders>
            <w:shd w:val="clear" w:color="auto" w:fill="auto"/>
            <w:vAlign w:val="center"/>
          </w:tcPr>
          <w:p w14:paraId="3155B8B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税率</w:t>
            </w:r>
          </w:p>
        </w:tc>
      </w:tr>
      <w:tr w14:paraId="11E92BED">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1FBC84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669E6A46">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高压进线柜 </w:t>
            </w:r>
          </w:p>
        </w:tc>
        <w:tc>
          <w:tcPr>
            <w:tcW w:w="0" w:type="auto"/>
            <w:tcBorders>
              <w:top w:val="nil"/>
              <w:left w:val="nil"/>
              <w:bottom w:val="single" w:color="auto" w:sz="4" w:space="0"/>
              <w:right w:val="single" w:color="auto" w:sz="4" w:space="0"/>
            </w:tcBorders>
            <w:shd w:val="clear" w:color="auto" w:fill="auto"/>
            <w:vAlign w:val="center"/>
          </w:tcPr>
          <w:p w14:paraId="2E3CE680">
            <w:pPr>
              <w:widowControl/>
              <w:jc w:val="center"/>
              <w:rPr>
                <w:rFonts w:ascii="仿宋" w:hAnsi="仿宋" w:eastAsia="仿宋" w:cs="宋体"/>
                <w:kern w:val="0"/>
                <w:sz w:val="18"/>
                <w:szCs w:val="18"/>
              </w:rPr>
            </w:pPr>
            <w:r>
              <w:rPr>
                <w:rFonts w:hint="eastAsia" w:ascii="仿宋" w:hAnsi="仿宋" w:eastAsia="仿宋" w:cs="宋体"/>
                <w:kern w:val="0"/>
                <w:sz w:val="18"/>
                <w:szCs w:val="18"/>
              </w:rPr>
              <w:t>G12,G19</w:t>
            </w:r>
          </w:p>
        </w:tc>
        <w:tc>
          <w:tcPr>
            <w:tcW w:w="0" w:type="auto"/>
            <w:tcBorders>
              <w:top w:val="nil"/>
              <w:left w:val="nil"/>
              <w:bottom w:val="single" w:color="auto" w:sz="4" w:space="0"/>
              <w:right w:val="single" w:color="auto" w:sz="4" w:space="0"/>
            </w:tcBorders>
            <w:shd w:val="clear" w:color="auto" w:fill="auto"/>
            <w:vAlign w:val="center"/>
          </w:tcPr>
          <w:p w14:paraId="698DA631">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57D9C2FE">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5D0A8B5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47368.28 </w:t>
            </w:r>
          </w:p>
        </w:tc>
        <w:tc>
          <w:tcPr>
            <w:tcW w:w="0" w:type="auto"/>
            <w:tcBorders>
              <w:top w:val="nil"/>
              <w:left w:val="nil"/>
              <w:bottom w:val="single" w:color="auto" w:sz="4" w:space="0"/>
              <w:right w:val="single" w:color="auto" w:sz="4" w:space="0"/>
            </w:tcBorders>
            <w:shd w:val="clear" w:color="auto" w:fill="auto"/>
            <w:noWrap/>
            <w:vAlign w:val="center"/>
          </w:tcPr>
          <w:p w14:paraId="142A9DB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94736.56 </w:t>
            </w:r>
          </w:p>
        </w:tc>
        <w:tc>
          <w:tcPr>
            <w:tcW w:w="0" w:type="auto"/>
            <w:tcBorders>
              <w:top w:val="nil"/>
              <w:left w:val="nil"/>
              <w:bottom w:val="single" w:color="auto" w:sz="4" w:space="0"/>
              <w:right w:val="single" w:color="auto" w:sz="4" w:space="0"/>
            </w:tcBorders>
            <w:shd w:val="clear" w:color="auto" w:fill="auto"/>
            <w:vAlign w:val="center"/>
          </w:tcPr>
          <w:p w14:paraId="666E2F5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C5F7B71">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1F710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14:paraId="047083CE">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高压计量柜 </w:t>
            </w:r>
          </w:p>
        </w:tc>
        <w:tc>
          <w:tcPr>
            <w:tcW w:w="0" w:type="auto"/>
            <w:tcBorders>
              <w:top w:val="nil"/>
              <w:left w:val="nil"/>
              <w:bottom w:val="single" w:color="auto" w:sz="4" w:space="0"/>
              <w:right w:val="single" w:color="auto" w:sz="4" w:space="0"/>
            </w:tcBorders>
            <w:shd w:val="clear" w:color="auto" w:fill="auto"/>
            <w:vAlign w:val="center"/>
          </w:tcPr>
          <w:p w14:paraId="5747C493">
            <w:pPr>
              <w:widowControl/>
              <w:jc w:val="center"/>
              <w:rPr>
                <w:rFonts w:ascii="仿宋" w:hAnsi="仿宋" w:eastAsia="仿宋" w:cs="宋体"/>
                <w:kern w:val="0"/>
                <w:sz w:val="18"/>
                <w:szCs w:val="18"/>
              </w:rPr>
            </w:pPr>
            <w:r>
              <w:rPr>
                <w:rFonts w:hint="eastAsia" w:ascii="仿宋" w:hAnsi="仿宋" w:eastAsia="仿宋" w:cs="宋体"/>
                <w:kern w:val="0"/>
                <w:sz w:val="18"/>
                <w:szCs w:val="18"/>
              </w:rPr>
              <w:t>G13,G18</w:t>
            </w:r>
          </w:p>
        </w:tc>
        <w:tc>
          <w:tcPr>
            <w:tcW w:w="0" w:type="auto"/>
            <w:tcBorders>
              <w:top w:val="nil"/>
              <w:left w:val="nil"/>
              <w:bottom w:val="single" w:color="auto" w:sz="4" w:space="0"/>
              <w:right w:val="single" w:color="auto" w:sz="4" w:space="0"/>
            </w:tcBorders>
            <w:shd w:val="clear" w:color="auto" w:fill="auto"/>
            <w:vAlign w:val="center"/>
          </w:tcPr>
          <w:p w14:paraId="3E3EF920">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47D421CE">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58D355D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24977.50 </w:t>
            </w:r>
          </w:p>
        </w:tc>
        <w:tc>
          <w:tcPr>
            <w:tcW w:w="0" w:type="auto"/>
            <w:tcBorders>
              <w:top w:val="nil"/>
              <w:left w:val="nil"/>
              <w:bottom w:val="single" w:color="auto" w:sz="4" w:space="0"/>
              <w:right w:val="single" w:color="auto" w:sz="4" w:space="0"/>
            </w:tcBorders>
            <w:shd w:val="clear" w:color="auto" w:fill="auto"/>
            <w:noWrap/>
            <w:vAlign w:val="center"/>
          </w:tcPr>
          <w:p w14:paraId="0344BB4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49955.00 </w:t>
            </w:r>
          </w:p>
        </w:tc>
        <w:tc>
          <w:tcPr>
            <w:tcW w:w="0" w:type="auto"/>
            <w:tcBorders>
              <w:top w:val="nil"/>
              <w:left w:val="nil"/>
              <w:bottom w:val="single" w:color="auto" w:sz="4" w:space="0"/>
              <w:right w:val="single" w:color="auto" w:sz="4" w:space="0"/>
            </w:tcBorders>
            <w:shd w:val="clear" w:color="auto" w:fill="auto"/>
            <w:vAlign w:val="center"/>
          </w:tcPr>
          <w:p w14:paraId="2A8499F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F6E50C4">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CDE83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1A09376D">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高压PT柜 </w:t>
            </w:r>
          </w:p>
        </w:tc>
        <w:tc>
          <w:tcPr>
            <w:tcW w:w="0" w:type="auto"/>
            <w:tcBorders>
              <w:top w:val="nil"/>
              <w:left w:val="nil"/>
              <w:bottom w:val="single" w:color="auto" w:sz="4" w:space="0"/>
              <w:right w:val="single" w:color="auto" w:sz="4" w:space="0"/>
            </w:tcBorders>
            <w:shd w:val="clear" w:color="auto" w:fill="auto"/>
            <w:vAlign w:val="center"/>
          </w:tcPr>
          <w:p w14:paraId="332444C9">
            <w:pPr>
              <w:widowControl/>
              <w:jc w:val="center"/>
              <w:rPr>
                <w:rFonts w:ascii="仿宋" w:hAnsi="仿宋" w:eastAsia="仿宋" w:cs="宋体"/>
                <w:kern w:val="0"/>
                <w:sz w:val="18"/>
                <w:szCs w:val="18"/>
              </w:rPr>
            </w:pPr>
            <w:r>
              <w:rPr>
                <w:rFonts w:hint="eastAsia" w:ascii="仿宋" w:hAnsi="仿宋" w:eastAsia="仿宋" w:cs="宋体"/>
                <w:kern w:val="0"/>
                <w:sz w:val="18"/>
                <w:szCs w:val="18"/>
              </w:rPr>
              <w:t>G14,G17</w:t>
            </w:r>
          </w:p>
        </w:tc>
        <w:tc>
          <w:tcPr>
            <w:tcW w:w="0" w:type="auto"/>
            <w:tcBorders>
              <w:top w:val="nil"/>
              <w:left w:val="nil"/>
              <w:bottom w:val="single" w:color="auto" w:sz="4" w:space="0"/>
              <w:right w:val="single" w:color="auto" w:sz="4" w:space="0"/>
            </w:tcBorders>
            <w:shd w:val="clear" w:color="auto" w:fill="auto"/>
            <w:vAlign w:val="center"/>
          </w:tcPr>
          <w:p w14:paraId="7B326608">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49448CB0">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18557E9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21714.49 </w:t>
            </w:r>
          </w:p>
        </w:tc>
        <w:tc>
          <w:tcPr>
            <w:tcW w:w="0" w:type="auto"/>
            <w:tcBorders>
              <w:top w:val="nil"/>
              <w:left w:val="nil"/>
              <w:bottom w:val="single" w:color="auto" w:sz="4" w:space="0"/>
              <w:right w:val="single" w:color="auto" w:sz="4" w:space="0"/>
            </w:tcBorders>
            <w:shd w:val="clear" w:color="auto" w:fill="auto"/>
            <w:noWrap/>
            <w:vAlign w:val="center"/>
          </w:tcPr>
          <w:p w14:paraId="559FDCD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43428.98 </w:t>
            </w:r>
          </w:p>
        </w:tc>
        <w:tc>
          <w:tcPr>
            <w:tcW w:w="0" w:type="auto"/>
            <w:tcBorders>
              <w:top w:val="nil"/>
              <w:left w:val="nil"/>
              <w:bottom w:val="single" w:color="auto" w:sz="4" w:space="0"/>
              <w:right w:val="single" w:color="auto" w:sz="4" w:space="0"/>
            </w:tcBorders>
            <w:shd w:val="clear" w:color="auto" w:fill="auto"/>
            <w:vAlign w:val="center"/>
          </w:tcPr>
          <w:p w14:paraId="73FEBBD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863F026">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E2E02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vAlign w:val="center"/>
          </w:tcPr>
          <w:p w14:paraId="2A02EDD9">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高压出线柜 </w:t>
            </w:r>
          </w:p>
        </w:tc>
        <w:tc>
          <w:tcPr>
            <w:tcW w:w="0" w:type="auto"/>
            <w:tcBorders>
              <w:top w:val="nil"/>
              <w:left w:val="nil"/>
              <w:bottom w:val="single" w:color="auto" w:sz="4" w:space="0"/>
              <w:right w:val="single" w:color="auto" w:sz="4" w:space="0"/>
            </w:tcBorders>
            <w:shd w:val="clear" w:color="auto" w:fill="auto"/>
            <w:vAlign w:val="center"/>
          </w:tcPr>
          <w:p w14:paraId="160D73D9">
            <w:pPr>
              <w:widowControl/>
              <w:jc w:val="center"/>
              <w:rPr>
                <w:rFonts w:ascii="仿宋" w:hAnsi="仿宋" w:eastAsia="仿宋" w:cs="宋体"/>
                <w:kern w:val="0"/>
                <w:sz w:val="18"/>
                <w:szCs w:val="18"/>
              </w:rPr>
            </w:pPr>
            <w:r>
              <w:rPr>
                <w:rFonts w:hint="eastAsia" w:ascii="仿宋" w:hAnsi="仿宋" w:eastAsia="仿宋" w:cs="宋体"/>
                <w:kern w:val="0"/>
                <w:sz w:val="18"/>
                <w:szCs w:val="18"/>
              </w:rPr>
              <w:t>G15,G16</w:t>
            </w:r>
          </w:p>
        </w:tc>
        <w:tc>
          <w:tcPr>
            <w:tcW w:w="0" w:type="auto"/>
            <w:tcBorders>
              <w:top w:val="nil"/>
              <w:left w:val="nil"/>
              <w:bottom w:val="single" w:color="auto" w:sz="4" w:space="0"/>
              <w:right w:val="single" w:color="auto" w:sz="4" w:space="0"/>
            </w:tcBorders>
            <w:shd w:val="clear" w:color="auto" w:fill="auto"/>
            <w:vAlign w:val="center"/>
          </w:tcPr>
          <w:p w14:paraId="0737DCDD">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313AAA44">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70A0DCC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43105.34 </w:t>
            </w:r>
          </w:p>
        </w:tc>
        <w:tc>
          <w:tcPr>
            <w:tcW w:w="0" w:type="auto"/>
            <w:tcBorders>
              <w:top w:val="nil"/>
              <w:left w:val="nil"/>
              <w:bottom w:val="single" w:color="auto" w:sz="4" w:space="0"/>
              <w:right w:val="single" w:color="auto" w:sz="4" w:space="0"/>
            </w:tcBorders>
            <w:shd w:val="clear" w:color="auto" w:fill="auto"/>
            <w:noWrap/>
            <w:vAlign w:val="center"/>
          </w:tcPr>
          <w:p w14:paraId="284B1FE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86210.68 </w:t>
            </w:r>
          </w:p>
        </w:tc>
        <w:tc>
          <w:tcPr>
            <w:tcW w:w="0" w:type="auto"/>
            <w:tcBorders>
              <w:top w:val="nil"/>
              <w:left w:val="nil"/>
              <w:bottom w:val="single" w:color="auto" w:sz="4" w:space="0"/>
              <w:right w:val="single" w:color="auto" w:sz="4" w:space="0"/>
            </w:tcBorders>
            <w:shd w:val="clear" w:color="auto" w:fill="auto"/>
            <w:vAlign w:val="center"/>
          </w:tcPr>
          <w:p w14:paraId="0744108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0679593">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EFF02F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2C15514A">
            <w:pPr>
              <w:widowControl/>
              <w:jc w:val="center"/>
              <w:rPr>
                <w:rFonts w:ascii="仿宋" w:hAnsi="仿宋" w:eastAsia="仿宋" w:cs="宋体"/>
                <w:kern w:val="0"/>
                <w:sz w:val="18"/>
                <w:szCs w:val="18"/>
              </w:rPr>
            </w:pPr>
            <w:r>
              <w:rPr>
                <w:rFonts w:hint="eastAsia" w:ascii="仿宋" w:hAnsi="仿宋" w:eastAsia="仿宋" w:cs="宋体"/>
                <w:kern w:val="0"/>
                <w:sz w:val="18"/>
                <w:szCs w:val="18"/>
              </w:rPr>
              <w:t>火灾漏电监控主机</w:t>
            </w:r>
          </w:p>
        </w:tc>
        <w:tc>
          <w:tcPr>
            <w:tcW w:w="0" w:type="auto"/>
            <w:tcBorders>
              <w:top w:val="nil"/>
              <w:left w:val="nil"/>
              <w:bottom w:val="single" w:color="auto" w:sz="4" w:space="0"/>
              <w:right w:val="single" w:color="auto" w:sz="4" w:space="0"/>
            </w:tcBorders>
            <w:shd w:val="clear" w:color="auto" w:fill="auto"/>
            <w:vAlign w:val="center"/>
          </w:tcPr>
          <w:p w14:paraId="1E2626D6">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6548F20E">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2DF22CF9">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tcBorders>
              <w:top w:val="nil"/>
              <w:left w:val="nil"/>
              <w:bottom w:val="single" w:color="auto" w:sz="4" w:space="0"/>
              <w:right w:val="single" w:color="auto" w:sz="4" w:space="0"/>
            </w:tcBorders>
            <w:shd w:val="clear" w:color="auto" w:fill="auto"/>
            <w:vAlign w:val="center"/>
          </w:tcPr>
          <w:p w14:paraId="75CA092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4449.06 </w:t>
            </w:r>
          </w:p>
        </w:tc>
        <w:tc>
          <w:tcPr>
            <w:tcW w:w="0" w:type="auto"/>
            <w:tcBorders>
              <w:top w:val="nil"/>
              <w:left w:val="nil"/>
              <w:bottom w:val="single" w:color="auto" w:sz="4" w:space="0"/>
              <w:right w:val="single" w:color="auto" w:sz="4" w:space="0"/>
            </w:tcBorders>
            <w:shd w:val="clear" w:color="auto" w:fill="auto"/>
            <w:noWrap/>
            <w:vAlign w:val="center"/>
          </w:tcPr>
          <w:p w14:paraId="65B6CD4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4449.06 </w:t>
            </w:r>
          </w:p>
        </w:tc>
        <w:tc>
          <w:tcPr>
            <w:tcW w:w="0" w:type="auto"/>
            <w:tcBorders>
              <w:top w:val="nil"/>
              <w:left w:val="nil"/>
              <w:bottom w:val="single" w:color="auto" w:sz="4" w:space="0"/>
              <w:right w:val="single" w:color="auto" w:sz="4" w:space="0"/>
            </w:tcBorders>
            <w:shd w:val="clear" w:color="auto" w:fill="auto"/>
            <w:vAlign w:val="center"/>
          </w:tcPr>
          <w:p w14:paraId="7BEA625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E3E089F">
        <w:tblPrEx>
          <w:tblCellMar>
            <w:top w:w="0" w:type="dxa"/>
            <w:left w:w="108" w:type="dxa"/>
            <w:bottom w:w="0" w:type="dxa"/>
            <w:right w:w="108" w:type="dxa"/>
          </w:tblCellMar>
        </w:tblPrEx>
        <w:trPr>
          <w:trHeight w:val="112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35580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tcBorders>
              <w:top w:val="nil"/>
              <w:left w:val="nil"/>
              <w:bottom w:val="single" w:color="auto" w:sz="4" w:space="0"/>
              <w:right w:val="single" w:color="auto" w:sz="4" w:space="0"/>
            </w:tcBorders>
            <w:shd w:val="clear" w:color="auto" w:fill="auto"/>
            <w:vAlign w:val="center"/>
          </w:tcPr>
          <w:p w14:paraId="0A3A1396">
            <w:pPr>
              <w:widowControl/>
              <w:jc w:val="center"/>
              <w:rPr>
                <w:rFonts w:ascii="仿宋" w:hAnsi="仿宋" w:eastAsia="仿宋" w:cs="宋体"/>
                <w:kern w:val="0"/>
                <w:sz w:val="18"/>
                <w:szCs w:val="18"/>
              </w:rPr>
            </w:pPr>
            <w:r>
              <w:rPr>
                <w:rFonts w:hint="eastAsia" w:ascii="仿宋" w:hAnsi="仿宋" w:eastAsia="仿宋" w:cs="宋体"/>
                <w:kern w:val="0"/>
                <w:sz w:val="18"/>
                <w:szCs w:val="18"/>
              </w:rPr>
              <w:t>干式变压器</w:t>
            </w:r>
          </w:p>
        </w:tc>
        <w:tc>
          <w:tcPr>
            <w:tcW w:w="0" w:type="auto"/>
            <w:tcBorders>
              <w:top w:val="nil"/>
              <w:left w:val="nil"/>
              <w:bottom w:val="single" w:color="auto" w:sz="4" w:space="0"/>
              <w:right w:val="single" w:color="auto" w:sz="4" w:space="0"/>
            </w:tcBorders>
            <w:shd w:val="clear" w:color="auto" w:fill="auto"/>
            <w:vAlign w:val="center"/>
          </w:tcPr>
          <w:p w14:paraId="1AB865F9">
            <w:pPr>
              <w:widowControl/>
              <w:jc w:val="center"/>
              <w:rPr>
                <w:rFonts w:ascii="仿宋" w:hAnsi="仿宋" w:eastAsia="仿宋" w:cs="宋体"/>
                <w:kern w:val="0"/>
                <w:sz w:val="18"/>
                <w:szCs w:val="18"/>
              </w:rPr>
            </w:pPr>
            <w:r>
              <w:rPr>
                <w:rFonts w:hint="eastAsia" w:ascii="仿宋" w:hAnsi="仿宋" w:eastAsia="仿宋" w:cs="宋体"/>
                <w:kern w:val="0"/>
                <w:sz w:val="18"/>
                <w:szCs w:val="18"/>
              </w:rPr>
              <w:t>SCB14-2000/10 2000kVA 10.5±2×2.5%/0.4kV，Dyn11,Ud=8%</w:t>
            </w:r>
          </w:p>
        </w:tc>
        <w:tc>
          <w:tcPr>
            <w:tcW w:w="0" w:type="auto"/>
            <w:tcBorders>
              <w:top w:val="nil"/>
              <w:left w:val="nil"/>
              <w:bottom w:val="single" w:color="auto" w:sz="4" w:space="0"/>
              <w:right w:val="single" w:color="auto" w:sz="4" w:space="0"/>
            </w:tcBorders>
            <w:shd w:val="clear" w:color="auto" w:fill="auto"/>
            <w:vAlign w:val="center"/>
          </w:tcPr>
          <w:p w14:paraId="68E11740">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7A7740C0">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7262C2B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235342.83 </w:t>
            </w:r>
          </w:p>
        </w:tc>
        <w:tc>
          <w:tcPr>
            <w:tcW w:w="0" w:type="auto"/>
            <w:tcBorders>
              <w:top w:val="nil"/>
              <w:left w:val="nil"/>
              <w:bottom w:val="single" w:color="auto" w:sz="4" w:space="0"/>
              <w:right w:val="single" w:color="auto" w:sz="4" w:space="0"/>
            </w:tcBorders>
            <w:shd w:val="clear" w:color="auto" w:fill="auto"/>
            <w:noWrap/>
            <w:vAlign w:val="center"/>
          </w:tcPr>
          <w:p w14:paraId="4C5C36E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470685.66 </w:t>
            </w:r>
          </w:p>
        </w:tc>
        <w:tc>
          <w:tcPr>
            <w:tcW w:w="0" w:type="auto"/>
            <w:tcBorders>
              <w:top w:val="nil"/>
              <w:left w:val="nil"/>
              <w:bottom w:val="single" w:color="auto" w:sz="4" w:space="0"/>
              <w:right w:val="single" w:color="auto" w:sz="4" w:space="0"/>
            </w:tcBorders>
            <w:shd w:val="clear" w:color="auto" w:fill="auto"/>
            <w:vAlign w:val="center"/>
          </w:tcPr>
          <w:p w14:paraId="21B350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78F4108D">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1248E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tcBorders>
              <w:top w:val="nil"/>
              <w:left w:val="nil"/>
              <w:bottom w:val="single" w:color="auto" w:sz="4" w:space="0"/>
              <w:right w:val="single" w:color="auto" w:sz="4" w:space="0"/>
            </w:tcBorders>
            <w:shd w:val="clear" w:color="auto" w:fill="auto"/>
            <w:vAlign w:val="center"/>
          </w:tcPr>
          <w:p w14:paraId="7C030557">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10kV隔离刀闸 </w:t>
            </w:r>
          </w:p>
        </w:tc>
        <w:tc>
          <w:tcPr>
            <w:tcW w:w="0" w:type="auto"/>
            <w:tcBorders>
              <w:top w:val="nil"/>
              <w:left w:val="nil"/>
              <w:bottom w:val="single" w:color="auto" w:sz="4" w:space="0"/>
              <w:right w:val="single" w:color="auto" w:sz="4" w:space="0"/>
            </w:tcBorders>
            <w:shd w:val="clear" w:color="auto" w:fill="auto"/>
            <w:vAlign w:val="center"/>
          </w:tcPr>
          <w:p w14:paraId="3E080F35">
            <w:pPr>
              <w:widowControl/>
              <w:jc w:val="center"/>
              <w:rPr>
                <w:rFonts w:ascii="仿宋" w:hAnsi="仿宋" w:eastAsia="仿宋" w:cs="宋体"/>
                <w:kern w:val="0"/>
                <w:sz w:val="18"/>
                <w:szCs w:val="18"/>
              </w:rPr>
            </w:pPr>
            <w:r>
              <w:rPr>
                <w:rFonts w:hint="eastAsia" w:ascii="仿宋" w:hAnsi="仿宋" w:eastAsia="仿宋" w:cs="宋体"/>
                <w:kern w:val="0"/>
                <w:sz w:val="18"/>
                <w:szCs w:val="18"/>
              </w:rPr>
              <w:t>GN19-10/630</w:t>
            </w:r>
          </w:p>
        </w:tc>
        <w:tc>
          <w:tcPr>
            <w:tcW w:w="0" w:type="auto"/>
            <w:tcBorders>
              <w:top w:val="nil"/>
              <w:left w:val="nil"/>
              <w:bottom w:val="single" w:color="auto" w:sz="4" w:space="0"/>
              <w:right w:val="single" w:color="auto" w:sz="4" w:space="0"/>
            </w:tcBorders>
            <w:shd w:val="clear" w:color="auto" w:fill="auto"/>
            <w:vAlign w:val="center"/>
          </w:tcPr>
          <w:p w14:paraId="0EAE08EF">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c>
          <w:tcPr>
            <w:tcW w:w="0" w:type="auto"/>
            <w:tcBorders>
              <w:top w:val="nil"/>
              <w:left w:val="nil"/>
              <w:bottom w:val="single" w:color="auto" w:sz="4" w:space="0"/>
              <w:right w:val="single" w:color="auto" w:sz="4" w:space="0"/>
            </w:tcBorders>
            <w:shd w:val="clear" w:color="auto" w:fill="auto"/>
            <w:noWrap/>
            <w:vAlign w:val="center"/>
          </w:tcPr>
          <w:p w14:paraId="2CC5F578">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3EBCCB6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1720.00 </w:t>
            </w:r>
          </w:p>
        </w:tc>
        <w:tc>
          <w:tcPr>
            <w:tcW w:w="0" w:type="auto"/>
            <w:tcBorders>
              <w:top w:val="nil"/>
              <w:left w:val="nil"/>
              <w:bottom w:val="single" w:color="auto" w:sz="4" w:space="0"/>
              <w:right w:val="single" w:color="auto" w:sz="4" w:space="0"/>
            </w:tcBorders>
            <w:shd w:val="clear" w:color="auto" w:fill="auto"/>
            <w:noWrap/>
            <w:vAlign w:val="center"/>
          </w:tcPr>
          <w:p w14:paraId="7524A8B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3440.00 </w:t>
            </w:r>
          </w:p>
        </w:tc>
        <w:tc>
          <w:tcPr>
            <w:tcW w:w="0" w:type="auto"/>
            <w:tcBorders>
              <w:top w:val="nil"/>
              <w:left w:val="nil"/>
              <w:bottom w:val="single" w:color="auto" w:sz="4" w:space="0"/>
              <w:right w:val="single" w:color="auto" w:sz="4" w:space="0"/>
            </w:tcBorders>
            <w:shd w:val="clear" w:color="auto" w:fill="auto"/>
            <w:vAlign w:val="center"/>
          </w:tcPr>
          <w:p w14:paraId="5B336EC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22D31EEB">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8B55C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tcBorders>
              <w:top w:val="nil"/>
              <w:left w:val="nil"/>
              <w:bottom w:val="single" w:color="auto" w:sz="4" w:space="0"/>
              <w:right w:val="single" w:color="auto" w:sz="4" w:space="0"/>
            </w:tcBorders>
            <w:shd w:val="clear" w:color="auto" w:fill="auto"/>
            <w:vAlign w:val="center"/>
          </w:tcPr>
          <w:p w14:paraId="06A48EFB">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低压进线柜 </w:t>
            </w:r>
          </w:p>
        </w:tc>
        <w:tc>
          <w:tcPr>
            <w:tcW w:w="0" w:type="auto"/>
            <w:tcBorders>
              <w:top w:val="nil"/>
              <w:left w:val="nil"/>
              <w:bottom w:val="single" w:color="auto" w:sz="4" w:space="0"/>
              <w:right w:val="single" w:color="auto" w:sz="4" w:space="0"/>
            </w:tcBorders>
            <w:shd w:val="clear" w:color="auto" w:fill="auto"/>
            <w:vAlign w:val="center"/>
          </w:tcPr>
          <w:p w14:paraId="357CDA12">
            <w:pPr>
              <w:widowControl/>
              <w:jc w:val="center"/>
              <w:rPr>
                <w:rFonts w:ascii="仿宋" w:hAnsi="仿宋" w:eastAsia="仿宋" w:cs="宋体"/>
                <w:kern w:val="0"/>
                <w:sz w:val="18"/>
                <w:szCs w:val="18"/>
              </w:rPr>
            </w:pPr>
            <w:r>
              <w:rPr>
                <w:rFonts w:hint="eastAsia" w:ascii="仿宋" w:hAnsi="仿宋" w:eastAsia="仿宋" w:cs="宋体"/>
                <w:kern w:val="0"/>
                <w:sz w:val="18"/>
                <w:szCs w:val="18"/>
              </w:rPr>
              <w:t>6D01,7D01</w:t>
            </w:r>
          </w:p>
        </w:tc>
        <w:tc>
          <w:tcPr>
            <w:tcW w:w="0" w:type="auto"/>
            <w:tcBorders>
              <w:top w:val="nil"/>
              <w:left w:val="nil"/>
              <w:bottom w:val="single" w:color="auto" w:sz="4" w:space="0"/>
              <w:right w:val="single" w:color="auto" w:sz="4" w:space="0"/>
            </w:tcBorders>
            <w:shd w:val="clear" w:color="auto" w:fill="auto"/>
            <w:vAlign w:val="center"/>
          </w:tcPr>
          <w:p w14:paraId="7DC4D4F3">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3909E810">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4ABDAE0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104417.09 </w:t>
            </w:r>
          </w:p>
        </w:tc>
        <w:tc>
          <w:tcPr>
            <w:tcW w:w="0" w:type="auto"/>
            <w:tcBorders>
              <w:top w:val="nil"/>
              <w:left w:val="nil"/>
              <w:bottom w:val="single" w:color="auto" w:sz="4" w:space="0"/>
              <w:right w:val="single" w:color="auto" w:sz="4" w:space="0"/>
            </w:tcBorders>
            <w:shd w:val="clear" w:color="auto" w:fill="auto"/>
            <w:noWrap/>
            <w:vAlign w:val="center"/>
          </w:tcPr>
          <w:p w14:paraId="76FF514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208834.18 </w:t>
            </w:r>
          </w:p>
        </w:tc>
        <w:tc>
          <w:tcPr>
            <w:tcW w:w="0" w:type="auto"/>
            <w:tcBorders>
              <w:top w:val="nil"/>
              <w:left w:val="nil"/>
              <w:bottom w:val="single" w:color="auto" w:sz="4" w:space="0"/>
              <w:right w:val="single" w:color="auto" w:sz="4" w:space="0"/>
            </w:tcBorders>
            <w:shd w:val="clear" w:color="auto" w:fill="auto"/>
            <w:vAlign w:val="center"/>
          </w:tcPr>
          <w:p w14:paraId="6B6B315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7C3CB726">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795AA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0" w:type="auto"/>
            <w:tcBorders>
              <w:top w:val="nil"/>
              <w:left w:val="nil"/>
              <w:bottom w:val="single" w:color="auto" w:sz="4" w:space="0"/>
              <w:right w:val="single" w:color="auto" w:sz="4" w:space="0"/>
            </w:tcBorders>
            <w:shd w:val="clear" w:color="auto" w:fill="auto"/>
            <w:vAlign w:val="center"/>
          </w:tcPr>
          <w:p w14:paraId="43C3CCDF">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低压出线柜 </w:t>
            </w:r>
          </w:p>
        </w:tc>
        <w:tc>
          <w:tcPr>
            <w:tcW w:w="0" w:type="auto"/>
            <w:tcBorders>
              <w:top w:val="nil"/>
              <w:left w:val="nil"/>
              <w:bottom w:val="single" w:color="auto" w:sz="4" w:space="0"/>
              <w:right w:val="single" w:color="auto" w:sz="4" w:space="0"/>
            </w:tcBorders>
            <w:shd w:val="clear" w:color="auto" w:fill="auto"/>
            <w:vAlign w:val="center"/>
          </w:tcPr>
          <w:p w14:paraId="5E389198">
            <w:pPr>
              <w:widowControl/>
              <w:jc w:val="center"/>
              <w:rPr>
                <w:rFonts w:ascii="仿宋" w:hAnsi="仿宋" w:eastAsia="仿宋" w:cs="宋体"/>
                <w:kern w:val="0"/>
                <w:sz w:val="18"/>
                <w:szCs w:val="18"/>
              </w:rPr>
            </w:pPr>
            <w:r>
              <w:rPr>
                <w:rFonts w:hint="eastAsia" w:ascii="仿宋" w:hAnsi="仿宋" w:eastAsia="仿宋" w:cs="宋体"/>
                <w:kern w:val="0"/>
                <w:sz w:val="18"/>
                <w:szCs w:val="18"/>
              </w:rPr>
              <w:t>6D06,7D04</w:t>
            </w:r>
          </w:p>
        </w:tc>
        <w:tc>
          <w:tcPr>
            <w:tcW w:w="0" w:type="auto"/>
            <w:tcBorders>
              <w:top w:val="nil"/>
              <w:left w:val="nil"/>
              <w:bottom w:val="single" w:color="auto" w:sz="4" w:space="0"/>
              <w:right w:val="single" w:color="auto" w:sz="4" w:space="0"/>
            </w:tcBorders>
            <w:shd w:val="clear" w:color="auto" w:fill="auto"/>
            <w:vAlign w:val="center"/>
          </w:tcPr>
          <w:p w14:paraId="2443EC1D">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1539C609">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7DB897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49103.44 </w:t>
            </w:r>
          </w:p>
        </w:tc>
        <w:tc>
          <w:tcPr>
            <w:tcW w:w="0" w:type="auto"/>
            <w:tcBorders>
              <w:top w:val="nil"/>
              <w:left w:val="nil"/>
              <w:bottom w:val="single" w:color="auto" w:sz="4" w:space="0"/>
              <w:right w:val="single" w:color="auto" w:sz="4" w:space="0"/>
            </w:tcBorders>
            <w:shd w:val="clear" w:color="auto" w:fill="auto"/>
            <w:noWrap/>
            <w:vAlign w:val="center"/>
          </w:tcPr>
          <w:p w14:paraId="0DE5991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98206.88 </w:t>
            </w:r>
          </w:p>
        </w:tc>
        <w:tc>
          <w:tcPr>
            <w:tcW w:w="0" w:type="auto"/>
            <w:tcBorders>
              <w:top w:val="nil"/>
              <w:left w:val="nil"/>
              <w:bottom w:val="single" w:color="auto" w:sz="4" w:space="0"/>
              <w:right w:val="single" w:color="auto" w:sz="4" w:space="0"/>
            </w:tcBorders>
            <w:shd w:val="clear" w:color="auto" w:fill="auto"/>
            <w:vAlign w:val="center"/>
          </w:tcPr>
          <w:p w14:paraId="3686BD2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1BD036A6">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B4257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14:paraId="36999541">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低压电容柜 </w:t>
            </w:r>
          </w:p>
        </w:tc>
        <w:tc>
          <w:tcPr>
            <w:tcW w:w="0" w:type="auto"/>
            <w:tcBorders>
              <w:top w:val="nil"/>
              <w:left w:val="nil"/>
              <w:bottom w:val="single" w:color="auto" w:sz="4" w:space="0"/>
              <w:right w:val="single" w:color="auto" w:sz="4" w:space="0"/>
            </w:tcBorders>
            <w:shd w:val="clear" w:color="auto" w:fill="auto"/>
            <w:vAlign w:val="center"/>
          </w:tcPr>
          <w:p w14:paraId="222B2894">
            <w:pPr>
              <w:widowControl/>
              <w:jc w:val="center"/>
              <w:rPr>
                <w:rFonts w:ascii="仿宋" w:hAnsi="仿宋" w:eastAsia="仿宋" w:cs="宋体"/>
                <w:kern w:val="0"/>
                <w:sz w:val="18"/>
                <w:szCs w:val="18"/>
              </w:rPr>
            </w:pPr>
            <w:r>
              <w:rPr>
                <w:rFonts w:hint="eastAsia" w:ascii="仿宋" w:hAnsi="仿宋" w:eastAsia="仿宋" w:cs="宋体"/>
                <w:kern w:val="0"/>
                <w:sz w:val="18"/>
                <w:szCs w:val="18"/>
              </w:rPr>
              <w:t>6D02,6D03,7D02,7D03</w:t>
            </w:r>
          </w:p>
        </w:tc>
        <w:tc>
          <w:tcPr>
            <w:tcW w:w="0" w:type="auto"/>
            <w:tcBorders>
              <w:top w:val="nil"/>
              <w:left w:val="nil"/>
              <w:bottom w:val="single" w:color="auto" w:sz="4" w:space="0"/>
              <w:right w:val="single" w:color="auto" w:sz="4" w:space="0"/>
            </w:tcBorders>
            <w:shd w:val="clear" w:color="auto" w:fill="auto"/>
            <w:vAlign w:val="center"/>
          </w:tcPr>
          <w:p w14:paraId="4F602A89">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5EAD6600">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0" w:type="auto"/>
            <w:tcBorders>
              <w:top w:val="nil"/>
              <w:left w:val="nil"/>
              <w:bottom w:val="single" w:color="auto" w:sz="4" w:space="0"/>
              <w:right w:val="single" w:color="auto" w:sz="4" w:space="0"/>
            </w:tcBorders>
            <w:shd w:val="clear" w:color="auto" w:fill="auto"/>
            <w:vAlign w:val="center"/>
          </w:tcPr>
          <w:p w14:paraId="3ADADB2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47253.05 </w:t>
            </w:r>
          </w:p>
        </w:tc>
        <w:tc>
          <w:tcPr>
            <w:tcW w:w="0" w:type="auto"/>
            <w:tcBorders>
              <w:top w:val="nil"/>
              <w:left w:val="nil"/>
              <w:bottom w:val="single" w:color="auto" w:sz="4" w:space="0"/>
              <w:right w:val="single" w:color="auto" w:sz="4" w:space="0"/>
            </w:tcBorders>
            <w:shd w:val="clear" w:color="auto" w:fill="auto"/>
            <w:noWrap/>
            <w:vAlign w:val="center"/>
          </w:tcPr>
          <w:p w14:paraId="6C03A62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189012.20 </w:t>
            </w:r>
          </w:p>
        </w:tc>
        <w:tc>
          <w:tcPr>
            <w:tcW w:w="0" w:type="auto"/>
            <w:tcBorders>
              <w:top w:val="nil"/>
              <w:left w:val="nil"/>
              <w:bottom w:val="single" w:color="auto" w:sz="4" w:space="0"/>
              <w:right w:val="single" w:color="auto" w:sz="4" w:space="0"/>
            </w:tcBorders>
            <w:shd w:val="clear" w:color="auto" w:fill="auto"/>
            <w:vAlign w:val="center"/>
          </w:tcPr>
          <w:p w14:paraId="46C757E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036B4127">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0496F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0" w:type="auto"/>
            <w:tcBorders>
              <w:top w:val="nil"/>
              <w:left w:val="nil"/>
              <w:bottom w:val="single" w:color="auto" w:sz="4" w:space="0"/>
              <w:right w:val="single" w:color="auto" w:sz="4" w:space="0"/>
            </w:tcBorders>
            <w:shd w:val="clear" w:color="auto" w:fill="auto"/>
            <w:vAlign w:val="center"/>
          </w:tcPr>
          <w:p w14:paraId="747EF118">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低压出线柜 </w:t>
            </w:r>
          </w:p>
        </w:tc>
        <w:tc>
          <w:tcPr>
            <w:tcW w:w="0" w:type="auto"/>
            <w:tcBorders>
              <w:top w:val="nil"/>
              <w:left w:val="nil"/>
              <w:bottom w:val="single" w:color="auto" w:sz="4" w:space="0"/>
              <w:right w:val="single" w:color="auto" w:sz="4" w:space="0"/>
            </w:tcBorders>
            <w:shd w:val="clear" w:color="auto" w:fill="auto"/>
            <w:vAlign w:val="center"/>
          </w:tcPr>
          <w:p w14:paraId="28DD902B">
            <w:pPr>
              <w:widowControl/>
              <w:jc w:val="center"/>
              <w:rPr>
                <w:rFonts w:ascii="仿宋" w:hAnsi="仿宋" w:eastAsia="仿宋" w:cs="宋体"/>
                <w:kern w:val="0"/>
                <w:sz w:val="18"/>
                <w:szCs w:val="18"/>
              </w:rPr>
            </w:pPr>
            <w:r>
              <w:rPr>
                <w:rFonts w:hint="eastAsia" w:ascii="仿宋" w:hAnsi="仿宋" w:eastAsia="仿宋" w:cs="宋体"/>
                <w:kern w:val="0"/>
                <w:sz w:val="18"/>
                <w:szCs w:val="18"/>
              </w:rPr>
              <w:t>6D04,6D05,7D04,7D05</w:t>
            </w:r>
          </w:p>
        </w:tc>
        <w:tc>
          <w:tcPr>
            <w:tcW w:w="0" w:type="auto"/>
            <w:tcBorders>
              <w:top w:val="nil"/>
              <w:left w:val="nil"/>
              <w:bottom w:val="single" w:color="auto" w:sz="4" w:space="0"/>
              <w:right w:val="single" w:color="auto" w:sz="4" w:space="0"/>
            </w:tcBorders>
            <w:shd w:val="clear" w:color="auto" w:fill="auto"/>
            <w:vAlign w:val="center"/>
          </w:tcPr>
          <w:p w14:paraId="17849BCB">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24AA7D91">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0" w:type="auto"/>
            <w:tcBorders>
              <w:top w:val="nil"/>
              <w:left w:val="nil"/>
              <w:bottom w:val="single" w:color="auto" w:sz="4" w:space="0"/>
              <w:right w:val="single" w:color="auto" w:sz="4" w:space="0"/>
            </w:tcBorders>
            <w:shd w:val="clear" w:color="auto" w:fill="auto"/>
            <w:vAlign w:val="center"/>
          </w:tcPr>
          <w:p w14:paraId="7741680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49922.17 </w:t>
            </w:r>
          </w:p>
        </w:tc>
        <w:tc>
          <w:tcPr>
            <w:tcW w:w="0" w:type="auto"/>
            <w:tcBorders>
              <w:top w:val="nil"/>
              <w:left w:val="nil"/>
              <w:bottom w:val="single" w:color="auto" w:sz="4" w:space="0"/>
              <w:right w:val="single" w:color="auto" w:sz="4" w:space="0"/>
            </w:tcBorders>
            <w:shd w:val="clear" w:color="auto" w:fill="auto"/>
            <w:noWrap/>
            <w:vAlign w:val="center"/>
          </w:tcPr>
          <w:p w14:paraId="2B2A602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199688.68 </w:t>
            </w:r>
          </w:p>
        </w:tc>
        <w:tc>
          <w:tcPr>
            <w:tcW w:w="0" w:type="auto"/>
            <w:tcBorders>
              <w:top w:val="nil"/>
              <w:left w:val="nil"/>
              <w:bottom w:val="single" w:color="auto" w:sz="4" w:space="0"/>
              <w:right w:val="single" w:color="auto" w:sz="4" w:space="0"/>
            </w:tcBorders>
            <w:shd w:val="clear" w:color="auto" w:fill="auto"/>
            <w:vAlign w:val="center"/>
          </w:tcPr>
          <w:p w14:paraId="4754A4C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F2D35E3">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4852D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0" w:type="auto"/>
            <w:tcBorders>
              <w:top w:val="nil"/>
              <w:left w:val="nil"/>
              <w:bottom w:val="single" w:color="auto" w:sz="4" w:space="0"/>
              <w:right w:val="single" w:color="auto" w:sz="4" w:space="0"/>
            </w:tcBorders>
            <w:shd w:val="clear" w:color="auto" w:fill="auto"/>
            <w:vAlign w:val="center"/>
          </w:tcPr>
          <w:p w14:paraId="08473B94">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低压出线柜 </w:t>
            </w:r>
          </w:p>
        </w:tc>
        <w:tc>
          <w:tcPr>
            <w:tcW w:w="0" w:type="auto"/>
            <w:tcBorders>
              <w:top w:val="nil"/>
              <w:left w:val="nil"/>
              <w:bottom w:val="single" w:color="auto" w:sz="4" w:space="0"/>
              <w:right w:val="single" w:color="auto" w:sz="4" w:space="0"/>
            </w:tcBorders>
            <w:shd w:val="clear" w:color="auto" w:fill="auto"/>
            <w:vAlign w:val="center"/>
          </w:tcPr>
          <w:p w14:paraId="1465AA88">
            <w:pPr>
              <w:widowControl/>
              <w:jc w:val="center"/>
              <w:rPr>
                <w:rFonts w:ascii="仿宋" w:hAnsi="仿宋" w:eastAsia="仿宋" w:cs="宋体"/>
                <w:kern w:val="0"/>
                <w:sz w:val="18"/>
                <w:szCs w:val="18"/>
              </w:rPr>
            </w:pPr>
            <w:r>
              <w:rPr>
                <w:rFonts w:hint="eastAsia" w:ascii="仿宋" w:hAnsi="仿宋" w:eastAsia="仿宋" w:cs="宋体"/>
                <w:kern w:val="0"/>
                <w:sz w:val="18"/>
                <w:szCs w:val="18"/>
              </w:rPr>
              <w:t>6D07,6D08</w:t>
            </w:r>
          </w:p>
        </w:tc>
        <w:tc>
          <w:tcPr>
            <w:tcW w:w="0" w:type="auto"/>
            <w:tcBorders>
              <w:top w:val="nil"/>
              <w:left w:val="nil"/>
              <w:bottom w:val="single" w:color="auto" w:sz="4" w:space="0"/>
              <w:right w:val="single" w:color="auto" w:sz="4" w:space="0"/>
            </w:tcBorders>
            <w:shd w:val="clear" w:color="auto" w:fill="auto"/>
            <w:vAlign w:val="center"/>
          </w:tcPr>
          <w:p w14:paraId="02F812DD">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c>
          <w:tcPr>
            <w:tcW w:w="0" w:type="auto"/>
            <w:tcBorders>
              <w:top w:val="nil"/>
              <w:left w:val="nil"/>
              <w:bottom w:val="single" w:color="auto" w:sz="4" w:space="0"/>
              <w:right w:val="single" w:color="auto" w:sz="4" w:space="0"/>
            </w:tcBorders>
            <w:shd w:val="clear" w:color="auto" w:fill="auto"/>
            <w:noWrap/>
            <w:vAlign w:val="center"/>
          </w:tcPr>
          <w:p w14:paraId="2B7D9190">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0" w:type="auto"/>
            <w:tcBorders>
              <w:top w:val="nil"/>
              <w:left w:val="nil"/>
              <w:bottom w:val="single" w:color="auto" w:sz="4" w:space="0"/>
              <w:right w:val="single" w:color="auto" w:sz="4" w:space="0"/>
            </w:tcBorders>
            <w:shd w:val="clear" w:color="auto" w:fill="auto"/>
            <w:vAlign w:val="center"/>
          </w:tcPr>
          <w:p w14:paraId="6A3C5CB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41048.25 </w:t>
            </w:r>
          </w:p>
        </w:tc>
        <w:tc>
          <w:tcPr>
            <w:tcW w:w="0" w:type="auto"/>
            <w:tcBorders>
              <w:top w:val="nil"/>
              <w:left w:val="nil"/>
              <w:bottom w:val="single" w:color="auto" w:sz="4" w:space="0"/>
              <w:right w:val="single" w:color="auto" w:sz="4" w:space="0"/>
            </w:tcBorders>
            <w:shd w:val="clear" w:color="000000" w:fill="FFFFFF"/>
            <w:vAlign w:val="center"/>
          </w:tcPr>
          <w:p w14:paraId="2DA8D88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82096.50 </w:t>
            </w:r>
          </w:p>
        </w:tc>
        <w:tc>
          <w:tcPr>
            <w:tcW w:w="0" w:type="auto"/>
            <w:tcBorders>
              <w:top w:val="nil"/>
              <w:left w:val="nil"/>
              <w:bottom w:val="single" w:color="auto" w:sz="4" w:space="0"/>
              <w:right w:val="single" w:color="auto" w:sz="4" w:space="0"/>
            </w:tcBorders>
            <w:shd w:val="clear" w:color="auto" w:fill="auto"/>
            <w:vAlign w:val="center"/>
          </w:tcPr>
          <w:p w14:paraId="70AFCA6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1E8A9AC1">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E7EA4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0" w:type="auto"/>
            <w:tcBorders>
              <w:top w:val="nil"/>
              <w:left w:val="nil"/>
              <w:bottom w:val="single" w:color="auto" w:sz="4" w:space="0"/>
              <w:right w:val="single" w:color="auto" w:sz="4" w:space="0"/>
            </w:tcBorders>
            <w:shd w:val="clear" w:color="auto" w:fill="auto"/>
            <w:vAlign w:val="center"/>
          </w:tcPr>
          <w:p w14:paraId="79EB415B">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6FF2EF5F">
            <w:pPr>
              <w:widowControl/>
              <w:jc w:val="center"/>
              <w:rPr>
                <w:rFonts w:ascii="仿宋" w:hAnsi="仿宋" w:eastAsia="仿宋" w:cs="宋体"/>
                <w:kern w:val="0"/>
                <w:sz w:val="18"/>
                <w:szCs w:val="18"/>
              </w:rPr>
            </w:pPr>
            <w:r>
              <w:rPr>
                <w:rFonts w:hint="eastAsia" w:ascii="仿宋" w:hAnsi="仿宋" w:eastAsia="仿宋" w:cs="宋体"/>
                <w:kern w:val="0"/>
                <w:sz w:val="18"/>
                <w:szCs w:val="18"/>
              </w:rPr>
              <w:t>1000*200</w:t>
            </w:r>
          </w:p>
        </w:tc>
        <w:tc>
          <w:tcPr>
            <w:tcW w:w="0" w:type="auto"/>
            <w:tcBorders>
              <w:top w:val="nil"/>
              <w:left w:val="nil"/>
              <w:bottom w:val="single" w:color="auto" w:sz="4" w:space="0"/>
              <w:right w:val="single" w:color="auto" w:sz="4" w:space="0"/>
            </w:tcBorders>
            <w:shd w:val="clear" w:color="auto" w:fill="auto"/>
            <w:vAlign w:val="center"/>
          </w:tcPr>
          <w:p w14:paraId="491EC6F9">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1E42BF21">
            <w:pPr>
              <w:widowControl/>
              <w:jc w:val="center"/>
              <w:rPr>
                <w:rFonts w:ascii="仿宋" w:hAnsi="仿宋" w:eastAsia="仿宋" w:cs="宋体"/>
                <w:kern w:val="0"/>
                <w:sz w:val="18"/>
                <w:szCs w:val="18"/>
              </w:rPr>
            </w:pPr>
            <w:r>
              <w:rPr>
                <w:rFonts w:hint="eastAsia" w:ascii="仿宋" w:hAnsi="仿宋" w:eastAsia="仿宋" w:cs="宋体"/>
                <w:kern w:val="0"/>
                <w:sz w:val="18"/>
                <w:szCs w:val="18"/>
              </w:rPr>
              <w:t>40.00</w:t>
            </w:r>
          </w:p>
        </w:tc>
        <w:tc>
          <w:tcPr>
            <w:tcW w:w="0" w:type="auto"/>
            <w:tcBorders>
              <w:top w:val="nil"/>
              <w:left w:val="nil"/>
              <w:bottom w:val="single" w:color="auto" w:sz="4" w:space="0"/>
              <w:right w:val="single" w:color="auto" w:sz="4" w:space="0"/>
            </w:tcBorders>
            <w:shd w:val="clear" w:color="auto" w:fill="auto"/>
            <w:vAlign w:val="center"/>
          </w:tcPr>
          <w:p w14:paraId="151C7D0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647.94 </w:t>
            </w:r>
          </w:p>
        </w:tc>
        <w:tc>
          <w:tcPr>
            <w:tcW w:w="0" w:type="auto"/>
            <w:tcBorders>
              <w:top w:val="nil"/>
              <w:left w:val="nil"/>
              <w:bottom w:val="single" w:color="auto" w:sz="4" w:space="0"/>
              <w:right w:val="single" w:color="auto" w:sz="4" w:space="0"/>
            </w:tcBorders>
            <w:shd w:val="clear" w:color="000000" w:fill="FFFFFF"/>
            <w:vAlign w:val="center"/>
          </w:tcPr>
          <w:p w14:paraId="3D88C2B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25917.60 </w:t>
            </w:r>
          </w:p>
        </w:tc>
        <w:tc>
          <w:tcPr>
            <w:tcW w:w="0" w:type="auto"/>
            <w:tcBorders>
              <w:top w:val="nil"/>
              <w:left w:val="nil"/>
              <w:bottom w:val="single" w:color="auto" w:sz="4" w:space="0"/>
              <w:right w:val="single" w:color="auto" w:sz="4" w:space="0"/>
            </w:tcBorders>
            <w:shd w:val="clear" w:color="auto" w:fill="auto"/>
            <w:vAlign w:val="center"/>
          </w:tcPr>
          <w:p w14:paraId="27062BA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9C48240">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A9043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0" w:type="auto"/>
            <w:tcBorders>
              <w:top w:val="nil"/>
              <w:left w:val="nil"/>
              <w:bottom w:val="single" w:color="auto" w:sz="4" w:space="0"/>
              <w:right w:val="single" w:color="auto" w:sz="4" w:space="0"/>
            </w:tcBorders>
            <w:shd w:val="clear" w:color="auto" w:fill="auto"/>
            <w:vAlign w:val="center"/>
          </w:tcPr>
          <w:p w14:paraId="03D4E5AB">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2A20A12E">
            <w:pPr>
              <w:widowControl/>
              <w:jc w:val="center"/>
              <w:rPr>
                <w:rFonts w:ascii="仿宋" w:hAnsi="仿宋" w:eastAsia="仿宋" w:cs="宋体"/>
                <w:kern w:val="0"/>
                <w:sz w:val="18"/>
                <w:szCs w:val="18"/>
              </w:rPr>
            </w:pPr>
            <w:r>
              <w:rPr>
                <w:rFonts w:hint="eastAsia" w:ascii="仿宋" w:hAnsi="仿宋" w:eastAsia="仿宋" w:cs="宋体"/>
                <w:kern w:val="0"/>
                <w:sz w:val="18"/>
                <w:szCs w:val="18"/>
              </w:rPr>
              <w:t>600*200</w:t>
            </w:r>
          </w:p>
        </w:tc>
        <w:tc>
          <w:tcPr>
            <w:tcW w:w="0" w:type="auto"/>
            <w:tcBorders>
              <w:top w:val="nil"/>
              <w:left w:val="nil"/>
              <w:bottom w:val="single" w:color="auto" w:sz="4" w:space="0"/>
              <w:right w:val="single" w:color="auto" w:sz="4" w:space="0"/>
            </w:tcBorders>
            <w:shd w:val="clear" w:color="auto" w:fill="auto"/>
            <w:vAlign w:val="center"/>
          </w:tcPr>
          <w:p w14:paraId="042CE5C1">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7BA8EF11">
            <w:pPr>
              <w:widowControl/>
              <w:jc w:val="center"/>
              <w:rPr>
                <w:rFonts w:ascii="仿宋" w:hAnsi="仿宋" w:eastAsia="仿宋" w:cs="宋体"/>
                <w:kern w:val="0"/>
                <w:sz w:val="18"/>
                <w:szCs w:val="18"/>
              </w:rPr>
            </w:pPr>
            <w:r>
              <w:rPr>
                <w:rFonts w:hint="eastAsia" w:ascii="仿宋" w:hAnsi="仿宋" w:eastAsia="仿宋" w:cs="宋体"/>
                <w:kern w:val="0"/>
                <w:sz w:val="18"/>
                <w:szCs w:val="18"/>
              </w:rPr>
              <w:t>30.00</w:t>
            </w:r>
          </w:p>
        </w:tc>
        <w:tc>
          <w:tcPr>
            <w:tcW w:w="0" w:type="auto"/>
            <w:tcBorders>
              <w:top w:val="nil"/>
              <w:left w:val="nil"/>
              <w:bottom w:val="single" w:color="auto" w:sz="4" w:space="0"/>
              <w:right w:val="single" w:color="auto" w:sz="4" w:space="0"/>
            </w:tcBorders>
            <w:shd w:val="clear" w:color="auto" w:fill="auto"/>
            <w:vAlign w:val="center"/>
          </w:tcPr>
          <w:p w14:paraId="25D1244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263.69 </w:t>
            </w:r>
          </w:p>
        </w:tc>
        <w:tc>
          <w:tcPr>
            <w:tcW w:w="0" w:type="auto"/>
            <w:tcBorders>
              <w:top w:val="nil"/>
              <w:left w:val="nil"/>
              <w:bottom w:val="single" w:color="auto" w:sz="4" w:space="0"/>
              <w:right w:val="single" w:color="auto" w:sz="4" w:space="0"/>
            </w:tcBorders>
            <w:shd w:val="clear" w:color="000000" w:fill="FFFFFF"/>
            <w:vAlign w:val="center"/>
          </w:tcPr>
          <w:p w14:paraId="687D6D6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7910.70 </w:t>
            </w:r>
          </w:p>
        </w:tc>
        <w:tc>
          <w:tcPr>
            <w:tcW w:w="0" w:type="auto"/>
            <w:tcBorders>
              <w:top w:val="nil"/>
              <w:left w:val="nil"/>
              <w:bottom w:val="single" w:color="auto" w:sz="4" w:space="0"/>
              <w:right w:val="single" w:color="auto" w:sz="4" w:space="0"/>
            </w:tcBorders>
            <w:shd w:val="clear" w:color="auto" w:fill="auto"/>
            <w:vAlign w:val="center"/>
          </w:tcPr>
          <w:p w14:paraId="1FDFD34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550BACD5">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71446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0" w:type="auto"/>
            <w:tcBorders>
              <w:top w:val="nil"/>
              <w:left w:val="nil"/>
              <w:bottom w:val="single" w:color="auto" w:sz="4" w:space="0"/>
              <w:right w:val="single" w:color="auto" w:sz="4" w:space="0"/>
            </w:tcBorders>
            <w:shd w:val="clear" w:color="auto" w:fill="auto"/>
            <w:vAlign w:val="center"/>
          </w:tcPr>
          <w:p w14:paraId="4379D48A">
            <w:pPr>
              <w:widowControl/>
              <w:jc w:val="center"/>
              <w:rPr>
                <w:rFonts w:ascii="仿宋" w:hAnsi="仿宋" w:eastAsia="仿宋" w:cs="宋体"/>
                <w:kern w:val="0"/>
                <w:sz w:val="18"/>
                <w:szCs w:val="18"/>
              </w:rPr>
            </w:pPr>
            <w:r>
              <w:rPr>
                <w:rFonts w:hint="eastAsia" w:ascii="仿宋" w:hAnsi="仿宋" w:eastAsia="仿宋" w:cs="宋体"/>
                <w:kern w:val="0"/>
                <w:sz w:val="18"/>
                <w:szCs w:val="18"/>
              </w:rPr>
              <w:t>桥架</w:t>
            </w:r>
          </w:p>
        </w:tc>
        <w:tc>
          <w:tcPr>
            <w:tcW w:w="0" w:type="auto"/>
            <w:tcBorders>
              <w:top w:val="nil"/>
              <w:left w:val="nil"/>
              <w:bottom w:val="single" w:color="auto" w:sz="4" w:space="0"/>
              <w:right w:val="single" w:color="auto" w:sz="4" w:space="0"/>
            </w:tcBorders>
            <w:shd w:val="clear" w:color="auto" w:fill="auto"/>
            <w:vAlign w:val="center"/>
          </w:tcPr>
          <w:p w14:paraId="17352E07">
            <w:pPr>
              <w:widowControl/>
              <w:jc w:val="center"/>
              <w:rPr>
                <w:rFonts w:ascii="仿宋" w:hAnsi="仿宋" w:eastAsia="仿宋" w:cs="宋体"/>
                <w:kern w:val="0"/>
                <w:sz w:val="18"/>
                <w:szCs w:val="18"/>
              </w:rPr>
            </w:pPr>
            <w:r>
              <w:rPr>
                <w:rFonts w:hint="eastAsia" w:ascii="仿宋" w:hAnsi="仿宋" w:eastAsia="仿宋" w:cs="宋体"/>
                <w:kern w:val="0"/>
                <w:sz w:val="18"/>
                <w:szCs w:val="18"/>
              </w:rPr>
              <w:t>200*100</w:t>
            </w:r>
          </w:p>
        </w:tc>
        <w:tc>
          <w:tcPr>
            <w:tcW w:w="0" w:type="auto"/>
            <w:tcBorders>
              <w:top w:val="nil"/>
              <w:left w:val="nil"/>
              <w:bottom w:val="single" w:color="auto" w:sz="4" w:space="0"/>
              <w:right w:val="single" w:color="auto" w:sz="4" w:space="0"/>
            </w:tcBorders>
            <w:shd w:val="clear" w:color="auto" w:fill="auto"/>
            <w:vAlign w:val="center"/>
          </w:tcPr>
          <w:p w14:paraId="1C08CBF8">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25F51DCA">
            <w:pPr>
              <w:widowControl/>
              <w:jc w:val="center"/>
              <w:rPr>
                <w:rFonts w:ascii="仿宋" w:hAnsi="仿宋" w:eastAsia="仿宋" w:cs="宋体"/>
                <w:kern w:val="0"/>
                <w:sz w:val="18"/>
                <w:szCs w:val="18"/>
              </w:rPr>
            </w:pPr>
            <w:r>
              <w:rPr>
                <w:rFonts w:hint="eastAsia" w:ascii="仿宋" w:hAnsi="仿宋" w:eastAsia="仿宋" w:cs="宋体"/>
                <w:kern w:val="0"/>
                <w:sz w:val="18"/>
                <w:szCs w:val="18"/>
              </w:rPr>
              <w:t>30.00</w:t>
            </w:r>
          </w:p>
        </w:tc>
        <w:tc>
          <w:tcPr>
            <w:tcW w:w="0" w:type="auto"/>
            <w:tcBorders>
              <w:top w:val="nil"/>
              <w:left w:val="nil"/>
              <w:bottom w:val="single" w:color="auto" w:sz="4" w:space="0"/>
              <w:right w:val="single" w:color="auto" w:sz="4" w:space="0"/>
            </w:tcBorders>
            <w:shd w:val="clear" w:color="auto" w:fill="auto"/>
            <w:vAlign w:val="center"/>
          </w:tcPr>
          <w:p w14:paraId="06EACCB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130.76 </w:t>
            </w:r>
          </w:p>
        </w:tc>
        <w:tc>
          <w:tcPr>
            <w:tcW w:w="0" w:type="auto"/>
            <w:tcBorders>
              <w:top w:val="nil"/>
              <w:left w:val="nil"/>
              <w:bottom w:val="single" w:color="auto" w:sz="4" w:space="0"/>
              <w:right w:val="single" w:color="auto" w:sz="4" w:space="0"/>
            </w:tcBorders>
            <w:shd w:val="clear" w:color="000000" w:fill="FFFFFF"/>
            <w:vAlign w:val="center"/>
          </w:tcPr>
          <w:p w14:paraId="5824097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3922.80 </w:t>
            </w:r>
          </w:p>
        </w:tc>
        <w:tc>
          <w:tcPr>
            <w:tcW w:w="0" w:type="auto"/>
            <w:tcBorders>
              <w:top w:val="nil"/>
              <w:left w:val="nil"/>
              <w:bottom w:val="single" w:color="auto" w:sz="4" w:space="0"/>
              <w:right w:val="single" w:color="auto" w:sz="4" w:space="0"/>
            </w:tcBorders>
            <w:shd w:val="clear" w:color="auto" w:fill="auto"/>
            <w:vAlign w:val="center"/>
          </w:tcPr>
          <w:p w14:paraId="5A39A7C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135C1943">
        <w:tblPrEx>
          <w:tblCellMar>
            <w:top w:w="0" w:type="dxa"/>
            <w:left w:w="108" w:type="dxa"/>
            <w:bottom w:w="0" w:type="dxa"/>
            <w:right w:w="108" w:type="dxa"/>
          </w:tblCellMar>
        </w:tblPrEx>
        <w:trPr>
          <w:trHeight w:val="7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85397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0" w:type="auto"/>
            <w:tcBorders>
              <w:top w:val="nil"/>
              <w:left w:val="nil"/>
              <w:bottom w:val="single" w:color="auto" w:sz="4" w:space="0"/>
              <w:right w:val="single" w:color="auto" w:sz="4" w:space="0"/>
            </w:tcBorders>
            <w:shd w:val="clear" w:color="auto" w:fill="auto"/>
            <w:vAlign w:val="center"/>
          </w:tcPr>
          <w:p w14:paraId="306F4EE7">
            <w:pPr>
              <w:widowControl/>
              <w:jc w:val="center"/>
              <w:rPr>
                <w:rFonts w:ascii="仿宋" w:hAnsi="仿宋" w:eastAsia="仿宋" w:cs="宋体"/>
                <w:kern w:val="0"/>
                <w:sz w:val="18"/>
                <w:szCs w:val="18"/>
              </w:rPr>
            </w:pPr>
            <w:r>
              <w:rPr>
                <w:rFonts w:hint="eastAsia" w:ascii="仿宋" w:hAnsi="仿宋" w:eastAsia="仿宋" w:cs="宋体"/>
                <w:kern w:val="0"/>
                <w:sz w:val="18"/>
                <w:szCs w:val="18"/>
              </w:rPr>
              <w:t>低压封闭式插接母线槽</w:t>
            </w:r>
          </w:p>
        </w:tc>
        <w:tc>
          <w:tcPr>
            <w:tcW w:w="0" w:type="auto"/>
            <w:tcBorders>
              <w:top w:val="nil"/>
              <w:left w:val="nil"/>
              <w:bottom w:val="single" w:color="auto" w:sz="4" w:space="0"/>
              <w:right w:val="single" w:color="auto" w:sz="4" w:space="0"/>
            </w:tcBorders>
            <w:shd w:val="clear" w:color="auto" w:fill="auto"/>
            <w:vAlign w:val="center"/>
          </w:tcPr>
          <w:p w14:paraId="11A32526">
            <w:pPr>
              <w:widowControl/>
              <w:jc w:val="center"/>
              <w:rPr>
                <w:rFonts w:ascii="仿宋" w:hAnsi="仿宋" w:eastAsia="仿宋" w:cs="宋体"/>
                <w:kern w:val="0"/>
                <w:sz w:val="18"/>
                <w:szCs w:val="18"/>
              </w:rPr>
            </w:pPr>
            <w:r>
              <w:rPr>
                <w:rFonts w:hint="eastAsia" w:ascii="仿宋" w:hAnsi="仿宋" w:eastAsia="仿宋" w:cs="宋体"/>
                <w:kern w:val="0"/>
                <w:sz w:val="18"/>
                <w:szCs w:val="18"/>
              </w:rPr>
              <w:t>封闭式密集母线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型号:4000A</w:t>
            </w:r>
          </w:p>
        </w:tc>
        <w:tc>
          <w:tcPr>
            <w:tcW w:w="0" w:type="auto"/>
            <w:tcBorders>
              <w:top w:val="nil"/>
              <w:left w:val="nil"/>
              <w:bottom w:val="single" w:color="auto" w:sz="4" w:space="0"/>
              <w:right w:val="single" w:color="auto" w:sz="4" w:space="0"/>
            </w:tcBorders>
            <w:shd w:val="clear" w:color="auto" w:fill="auto"/>
            <w:vAlign w:val="center"/>
          </w:tcPr>
          <w:p w14:paraId="70EA7322">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0" w:type="auto"/>
            <w:tcBorders>
              <w:top w:val="nil"/>
              <w:left w:val="nil"/>
              <w:bottom w:val="single" w:color="auto" w:sz="4" w:space="0"/>
              <w:right w:val="single" w:color="auto" w:sz="4" w:space="0"/>
            </w:tcBorders>
            <w:shd w:val="clear" w:color="auto" w:fill="auto"/>
            <w:noWrap/>
            <w:vAlign w:val="center"/>
          </w:tcPr>
          <w:p w14:paraId="482F29B7">
            <w:pPr>
              <w:widowControl/>
              <w:jc w:val="center"/>
              <w:rPr>
                <w:rFonts w:ascii="仿宋" w:hAnsi="仿宋" w:eastAsia="仿宋" w:cs="宋体"/>
                <w:kern w:val="0"/>
                <w:sz w:val="18"/>
                <w:szCs w:val="18"/>
              </w:rPr>
            </w:pPr>
            <w:r>
              <w:rPr>
                <w:rFonts w:hint="eastAsia" w:ascii="仿宋" w:hAnsi="仿宋" w:eastAsia="仿宋" w:cs="宋体"/>
                <w:kern w:val="0"/>
                <w:sz w:val="18"/>
                <w:szCs w:val="18"/>
              </w:rPr>
              <w:t>10.10</w:t>
            </w:r>
          </w:p>
        </w:tc>
        <w:tc>
          <w:tcPr>
            <w:tcW w:w="0" w:type="auto"/>
            <w:tcBorders>
              <w:top w:val="nil"/>
              <w:left w:val="nil"/>
              <w:bottom w:val="single" w:color="auto" w:sz="4" w:space="0"/>
              <w:right w:val="single" w:color="auto" w:sz="4" w:space="0"/>
            </w:tcBorders>
            <w:shd w:val="clear" w:color="auto" w:fill="auto"/>
            <w:vAlign w:val="center"/>
          </w:tcPr>
          <w:p w14:paraId="3546060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7789.89 </w:t>
            </w:r>
          </w:p>
        </w:tc>
        <w:tc>
          <w:tcPr>
            <w:tcW w:w="0" w:type="auto"/>
            <w:tcBorders>
              <w:top w:val="nil"/>
              <w:left w:val="nil"/>
              <w:bottom w:val="single" w:color="auto" w:sz="4" w:space="0"/>
              <w:right w:val="single" w:color="auto" w:sz="4" w:space="0"/>
            </w:tcBorders>
            <w:shd w:val="clear" w:color="000000" w:fill="FFFFFF"/>
            <w:vAlign w:val="center"/>
          </w:tcPr>
          <w:p w14:paraId="71F3E39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78677.89 </w:t>
            </w:r>
          </w:p>
        </w:tc>
        <w:tc>
          <w:tcPr>
            <w:tcW w:w="0" w:type="auto"/>
            <w:tcBorders>
              <w:top w:val="nil"/>
              <w:left w:val="nil"/>
              <w:bottom w:val="single" w:color="auto" w:sz="4" w:space="0"/>
              <w:right w:val="single" w:color="auto" w:sz="4" w:space="0"/>
            </w:tcBorders>
            <w:shd w:val="clear" w:color="auto" w:fill="auto"/>
            <w:vAlign w:val="center"/>
          </w:tcPr>
          <w:p w14:paraId="05E47B0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37E42E9F">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129E1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0" w:type="auto"/>
            <w:tcBorders>
              <w:top w:val="nil"/>
              <w:left w:val="nil"/>
              <w:bottom w:val="single" w:color="auto" w:sz="4" w:space="0"/>
              <w:right w:val="single" w:color="auto" w:sz="4" w:space="0"/>
            </w:tcBorders>
            <w:shd w:val="clear" w:color="auto" w:fill="auto"/>
            <w:vAlign w:val="center"/>
          </w:tcPr>
          <w:p w14:paraId="37CA8D3A">
            <w:pPr>
              <w:widowControl/>
              <w:jc w:val="center"/>
              <w:rPr>
                <w:rFonts w:ascii="仿宋" w:hAnsi="仿宋" w:eastAsia="仿宋" w:cs="宋体"/>
                <w:kern w:val="0"/>
                <w:sz w:val="18"/>
                <w:szCs w:val="18"/>
              </w:rPr>
            </w:pPr>
            <w:r>
              <w:rPr>
                <w:rFonts w:hint="eastAsia" w:ascii="仿宋" w:hAnsi="仿宋" w:eastAsia="仿宋" w:cs="宋体"/>
                <w:kern w:val="0"/>
                <w:sz w:val="18"/>
                <w:szCs w:val="18"/>
              </w:rPr>
              <w:t>带形铜母线</w:t>
            </w:r>
          </w:p>
        </w:tc>
        <w:tc>
          <w:tcPr>
            <w:tcW w:w="0" w:type="auto"/>
            <w:tcBorders>
              <w:top w:val="nil"/>
              <w:left w:val="nil"/>
              <w:bottom w:val="single" w:color="auto" w:sz="4" w:space="0"/>
              <w:right w:val="single" w:color="auto" w:sz="4" w:space="0"/>
            </w:tcBorders>
            <w:shd w:val="clear" w:color="auto" w:fill="auto"/>
            <w:vAlign w:val="center"/>
          </w:tcPr>
          <w:p w14:paraId="7F71FE91">
            <w:pPr>
              <w:widowControl/>
              <w:jc w:val="center"/>
              <w:rPr>
                <w:rFonts w:ascii="仿宋" w:hAnsi="仿宋" w:eastAsia="仿宋" w:cs="宋体"/>
                <w:kern w:val="0"/>
                <w:sz w:val="18"/>
                <w:szCs w:val="18"/>
              </w:rPr>
            </w:pPr>
            <w:r>
              <w:rPr>
                <w:rFonts w:hint="eastAsia" w:ascii="仿宋" w:hAnsi="仿宋" w:eastAsia="仿宋" w:cs="宋体"/>
                <w:kern w:val="0"/>
                <w:sz w:val="18"/>
                <w:szCs w:val="18"/>
              </w:rPr>
              <w:t>1.名称:软连接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2.型号:4000A</w:t>
            </w:r>
          </w:p>
        </w:tc>
        <w:tc>
          <w:tcPr>
            <w:tcW w:w="0" w:type="auto"/>
            <w:tcBorders>
              <w:top w:val="nil"/>
              <w:left w:val="nil"/>
              <w:bottom w:val="single" w:color="auto" w:sz="4" w:space="0"/>
              <w:right w:val="single" w:color="auto" w:sz="4" w:space="0"/>
            </w:tcBorders>
            <w:shd w:val="clear" w:color="auto" w:fill="auto"/>
            <w:vAlign w:val="center"/>
          </w:tcPr>
          <w:p w14:paraId="483D21E6">
            <w:pPr>
              <w:widowControl/>
              <w:jc w:val="center"/>
              <w:rPr>
                <w:rFonts w:ascii="仿宋" w:hAnsi="仿宋" w:eastAsia="仿宋" w:cs="宋体"/>
                <w:kern w:val="0"/>
                <w:sz w:val="18"/>
                <w:szCs w:val="18"/>
              </w:rPr>
            </w:pPr>
            <w:r>
              <w:rPr>
                <w:rFonts w:hint="eastAsia" w:ascii="仿宋" w:hAnsi="仿宋" w:eastAsia="仿宋" w:cs="宋体"/>
                <w:kern w:val="0"/>
                <w:sz w:val="18"/>
                <w:szCs w:val="18"/>
              </w:rPr>
              <w:t>条</w:t>
            </w:r>
          </w:p>
        </w:tc>
        <w:tc>
          <w:tcPr>
            <w:tcW w:w="0" w:type="auto"/>
            <w:tcBorders>
              <w:top w:val="nil"/>
              <w:left w:val="nil"/>
              <w:bottom w:val="single" w:color="auto" w:sz="4" w:space="0"/>
              <w:right w:val="single" w:color="auto" w:sz="4" w:space="0"/>
            </w:tcBorders>
            <w:shd w:val="clear" w:color="auto" w:fill="auto"/>
            <w:noWrap/>
            <w:vAlign w:val="center"/>
          </w:tcPr>
          <w:p w14:paraId="464EAEAE">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0" w:type="auto"/>
            <w:tcBorders>
              <w:top w:val="nil"/>
              <w:left w:val="nil"/>
              <w:bottom w:val="single" w:color="auto" w:sz="4" w:space="0"/>
              <w:right w:val="single" w:color="auto" w:sz="4" w:space="0"/>
            </w:tcBorders>
            <w:shd w:val="clear" w:color="auto" w:fill="auto"/>
            <w:vAlign w:val="center"/>
          </w:tcPr>
          <w:p w14:paraId="0610CF2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9646.65 </w:t>
            </w:r>
          </w:p>
        </w:tc>
        <w:tc>
          <w:tcPr>
            <w:tcW w:w="0" w:type="auto"/>
            <w:tcBorders>
              <w:top w:val="nil"/>
              <w:left w:val="nil"/>
              <w:bottom w:val="single" w:color="auto" w:sz="4" w:space="0"/>
              <w:right w:val="single" w:color="auto" w:sz="4" w:space="0"/>
            </w:tcBorders>
            <w:shd w:val="clear" w:color="000000" w:fill="FFFFFF"/>
            <w:vAlign w:val="center"/>
          </w:tcPr>
          <w:p w14:paraId="3C51421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38586.60 </w:t>
            </w:r>
          </w:p>
        </w:tc>
        <w:tc>
          <w:tcPr>
            <w:tcW w:w="0" w:type="auto"/>
            <w:tcBorders>
              <w:top w:val="nil"/>
              <w:left w:val="nil"/>
              <w:bottom w:val="single" w:color="auto" w:sz="4" w:space="0"/>
              <w:right w:val="single" w:color="auto" w:sz="4" w:space="0"/>
            </w:tcBorders>
            <w:shd w:val="clear" w:color="auto" w:fill="auto"/>
            <w:vAlign w:val="center"/>
          </w:tcPr>
          <w:p w14:paraId="02A5F3D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665A9A23">
        <w:tblPrEx>
          <w:tblCellMar>
            <w:top w:w="0" w:type="dxa"/>
            <w:left w:w="108" w:type="dxa"/>
            <w:bottom w:w="0" w:type="dxa"/>
            <w:right w:w="108" w:type="dxa"/>
          </w:tblCellMar>
        </w:tblPrEx>
        <w:trPr>
          <w:trHeight w:val="55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0D29A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0" w:type="auto"/>
            <w:tcBorders>
              <w:top w:val="nil"/>
              <w:left w:val="nil"/>
              <w:bottom w:val="single" w:color="auto" w:sz="4" w:space="0"/>
              <w:right w:val="single" w:color="auto" w:sz="4" w:space="0"/>
            </w:tcBorders>
            <w:shd w:val="clear" w:color="auto" w:fill="auto"/>
            <w:vAlign w:val="center"/>
          </w:tcPr>
          <w:p w14:paraId="7952D271">
            <w:pPr>
              <w:widowControl/>
              <w:jc w:val="center"/>
              <w:rPr>
                <w:rFonts w:ascii="仿宋" w:hAnsi="仿宋" w:eastAsia="仿宋" w:cs="宋体"/>
                <w:kern w:val="0"/>
                <w:sz w:val="18"/>
                <w:szCs w:val="18"/>
              </w:rPr>
            </w:pPr>
            <w:r>
              <w:rPr>
                <w:rFonts w:hint="eastAsia" w:ascii="仿宋" w:hAnsi="仿宋" w:eastAsia="仿宋" w:cs="宋体"/>
                <w:kern w:val="0"/>
                <w:sz w:val="18"/>
                <w:szCs w:val="18"/>
              </w:rPr>
              <w:t>带形铜母线</w:t>
            </w:r>
          </w:p>
        </w:tc>
        <w:tc>
          <w:tcPr>
            <w:tcW w:w="0" w:type="auto"/>
            <w:tcBorders>
              <w:top w:val="nil"/>
              <w:left w:val="nil"/>
              <w:bottom w:val="single" w:color="auto" w:sz="4" w:space="0"/>
              <w:right w:val="single" w:color="auto" w:sz="4" w:space="0"/>
            </w:tcBorders>
            <w:shd w:val="clear" w:color="auto" w:fill="auto"/>
            <w:vAlign w:val="center"/>
          </w:tcPr>
          <w:p w14:paraId="6554DCB7">
            <w:pPr>
              <w:widowControl/>
              <w:jc w:val="center"/>
              <w:rPr>
                <w:rFonts w:ascii="仿宋" w:hAnsi="仿宋" w:eastAsia="仿宋" w:cs="宋体"/>
                <w:kern w:val="0"/>
                <w:sz w:val="18"/>
                <w:szCs w:val="18"/>
              </w:rPr>
            </w:pPr>
            <w:r>
              <w:rPr>
                <w:rFonts w:hint="eastAsia" w:ascii="仿宋" w:hAnsi="仿宋" w:eastAsia="仿宋" w:cs="宋体"/>
                <w:kern w:val="0"/>
                <w:sz w:val="18"/>
                <w:szCs w:val="18"/>
              </w:rPr>
              <w:t>1.名称:连接铜排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2.型号:4000A</w:t>
            </w:r>
          </w:p>
        </w:tc>
        <w:tc>
          <w:tcPr>
            <w:tcW w:w="0" w:type="auto"/>
            <w:tcBorders>
              <w:top w:val="nil"/>
              <w:left w:val="nil"/>
              <w:bottom w:val="single" w:color="auto" w:sz="4" w:space="0"/>
              <w:right w:val="single" w:color="auto" w:sz="4" w:space="0"/>
            </w:tcBorders>
            <w:shd w:val="clear" w:color="auto" w:fill="auto"/>
            <w:vAlign w:val="center"/>
          </w:tcPr>
          <w:p w14:paraId="1724863E">
            <w:pPr>
              <w:widowControl/>
              <w:jc w:val="center"/>
              <w:rPr>
                <w:rFonts w:ascii="仿宋" w:hAnsi="仿宋" w:eastAsia="仿宋" w:cs="宋体"/>
                <w:kern w:val="0"/>
                <w:sz w:val="18"/>
                <w:szCs w:val="18"/>
              </w:rPr>
            </w:pPr>
            <w:r>
              <w:rPr>
                <w:rFonts w:hint="eastAsia" w:ascii="仿宋" w:hAnsi="仿宋" w:eastAsia="仿宋" w:cs="宋体"/>
                <w:kern w:val="0"/>
                <w:sz w:val="18"/>
                <w:szCs w:val="18"/>
              </w:rPr>
              <w:t>条</w:t>
            </w:r>
          </w:p>
        </w:tc>
        <w:tc>
          <w:tcPr>
            <w:tcW w:w="0" w:type="auto"/>
            <w:tcBorders>
              <w:top w:val="nil"/>
              <w:left w:val="nil"/>
              <w:bottom w:val="single" w:color="auto" w:sz="4" w:space="0"/>
              <w:right w:val="single" w:color="auto" w:sz="4" w:space="0"/>
            </w:tcBorders>
            <w:shd w:val="clear" w:color="auto" w:fill="auto"/>
            <w:noWrap/>
            <w:vAlign w:val="center"/>
          </w:tcPr>
          <w:p w14:paraId="6A8129B0">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c>
          <w:tcPr>
            <w:tcW w:w="0" w:type="auto"/>
            <w:tcBorders>
              <w:top w:val="nil"/>
              <w:left w:val="nil"/>
              <w:bottom w:val="single" w:color="auto" w:sz="4" w:space="0"/>
              <w:right w:val="single" w:color="auto" w:sz="4" w:space="0"/>
            </w:tcBorders>
            <w:shd w:val="clear" w:color="auto" w:fill="auto"/>
            <w:vAlign w:val="center"/>
          </w:tcPr>
          <w:p w14:paraId="678F3A7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9474.39 </w:t>
            </w:r>
          </w:p>
        </w:tc>
        <w:tc>
          <w:tcPr>
            <w:tcW w:w="0" w:type="auto"/>
            <w:tcBorders>
              <w:top w:val="nil"/>
              <w:left w:val="nil"/>
              <w:bottom w:val="single" w:color="auto" w:sz="4" w:space="0"/>
              <w:right w:val="single" w:color="auto" w:sz="4" w:space="0"/>
            </w:tcBorders>
            <w:shd w:val="clear" w:color="000000" w:fill="FFFFFF"/>
            <w:vAlign w:val="center"/>
          </w:tcPr>
          <w:p w14:paraId="4180D60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75795.12 </w:t>
            </w:r>
          </w:p>
        </w:tc>
        <w:tc>
          <w:tcPr>
            <w:tcW w:w="0" w:type="auto"/>
            <w:tcBorders>
              <w:top w:val="nil"/>
              <w:left w:val="nil"/>
              <w:bottom w:val="single" w:color="auto" w:sz="4" w:space="0"/>
              <w:right w:val="single" w:color="auto" w:sz="4" w:space="0"/>
            </w:tcBorders>
            <w:shd w:val="clear" w:color="auto" w:fill="auto"/>
            <w:vAlign w:val="center"/>
          </w:tcPr>
          <w:p w14:paraId="35DB590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r>
      <w:tr w14:paraId="4F3C2EC6">
        <w:tblPrEx>
          <w:tblCellMar>
            <w:top w:w="0" w:type="dxa"/>
            <w:left w:w="108" w:type="dxa"/>
            <w:bottom w:w="0" w:type="dxa"/>
            <w:right w:w="108" w:type="dxa"/>
          </w:tblCellMar>
        </w:tblPrEx>
        <w:trPr>
          <w:trHeight w:val="7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2A361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2D7E1EDE">
            <w:pPr>
              <w:widowControl/>
              <w:jc w:val="center"/>
              <w:rPr>
                <w:rFonts w:ascii="仿宋" w:hAnsi="仿宋" w:eastAsia="仿宋"/>
                <w:color w:val="333333"/>
                <w:kern w:val="0"/>
                <w:sz w:val="18"/>
                <w:szCs w:val="18"/>
              </w:rPr>
            </w:pPr>
            <w:r>
              <w:rPr>
                <w:rFonts w:ascii="仿宋" w:hAnsi="仿宋" w:eastAsia="仿宋"/>
                <w:color w:val="333333"/>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33AE88B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0" w:type="auto"/>
            <w:tcBorders>
              <w:top w:val="nil"/>
              <w:left w:val="nil"/>
              <w:bottom w:val="single" w:color="auto" w:sz="4" w:space="0"/>
              <w:right w:val="single" w:color="auto" w:sz="4" w:space="0"/>
            </w:tcBorders>
            <w:shd w:val="clear" w:color="auto" w:fill="auto"/>
            <w:noWrap/>
            <w:vAlign w:val="center"/>
          </w:tcPr>
          <w:p w14:paraId="2AC6B65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2701B8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E417C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286F29B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1761555.09 </w:t>
            </w:r>
          </w:p>
        </w:tc>
        <w:tc>
          <w:tcPr>
            <w:tcW w:w="0" w:type="auto"/>
            <w:tcBorders>
              <w:top w:val="nil"/>
              <w:left w:val="nil"/>
              <w:bottom w:val="single" w:color="auto" w:sz="4" w:space="0"/>
              <w:right w:val="single" w:color="auto" w:sz="4" w:space="0"/>
            </w:tcBorders>
            <w:shd w:val="clear" w:color="auto" w:fill="auto"/>
            <w:noWrap/>
            <w:vAlign w:val="center"/>
          </w:tcPr>
          <w:p w14:paraId="61CBFDD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004B7E36">
      <w:pPr>
        <w:widowControl/>
        <w:jc w:val="left"/>
        <w:rPr>
          <w:rFonts w:ascii="黑体" w:hAnsi="黑体" w:eastAsia="黑体" w:cs="黑体"/>
          <w:b/>
          <w:bCs/>
          <w:kern w:val="44"/>
          <w:sz w:val="32"/>
          <w:szCs w:val="32"/>
        </w:rPr>
      </w:pPr>
      <w:r>
        <w:rPr>
          <w:rFonts w:ascii="黑体" w:hAnsi="黑体" w:eastAsia="黑体" w:cs="黑体"/>
          <w:sz w:val="32"/>
          <w:szCs w:val="32"/>
        </w:rPr>
        <w:br w:type="page"/>
      </w:r>
    </w:p>
    <w:bookmarkEnd w:id="24"/>
    <w:bookmarkEnd w:id="25"/>
    <w:p w14:paraId="3514FAF4">
      <w:pPr>
        <w:widowControl/>
        <w:autoSpaceDE w:val="0"/>
        <w:autoSpaceDN w:val="0"/>
        <w:adjustRightInd w:val="0"/>
        <w:spacing w:line="560" w:lineRule="exact"/>
        <w:rPr>
          <w:rStyle w:val="43"/>
          <w:rFonts w:cs="仿宋"/>
          <w:sz w:val="24"/>
          <w:szCs w:val="24"/>
        </w:rPr>
      </w:pPr>
      <w:bookmarkStart w:id="33" w:name="_Toc300835213"/>
      <w:bookmarkStart w:id="34" w:name="_Toc247514283"/>
      <w:bookmarkStart w:id="35" w:name="_Toc247527831"/>
      <w:bookmarkStart w:id="36" w:name="_Toc152045791"/>
      <w:bookmarkStart w:id="37" w:name="_Toc152042580"/>
      <w:bookmarkStart w:id="38" w:name="_Toc144974860"/>
      <w:r>
        <w:rPr>
          <w:rStyle w:val="43"/>
          <w:rFonts w:hint="eastAsia" w:cs="仿宋"/>
          <w:sz w:val="24"/>
          <w:szCs w:val="24"/>
        </w:rPr>
        <w:t xml:space="preserve">附件                          </w:t>
      </w:r>
    </w:p>
    <w:p w14:paraId="378227A0">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33"/>
      <w:bookmarkEnd w:id="34"/>
      <w:bookmarkEnd w:id="35"/>
      <w:bookmarkEnd w:id="36"/>
      <w:bookmarkEnd w:id="37"/>
      <w:bookmarkEnd w:id="38"/>
    </w:p>
    <w:p w14:paraId="3E929042">
      <w:pPr>
        <w:spacing w:line="560" w:lineRule="exact"/>
        <w:rPr>
          <w:rFonts w:ascii="仿宋" w:hAnsi="仿宋" w:eastAsia="仿宋" w:cs="仿宋"/>
          <w:sz w:val="28"/>
          <w:szCs w:val="28"/>
        </w:rPr>
      </w:pPr>
    </w:p>
    <w:p w14:paraId="32B048A5">
      <w:pPr>
        <w:spacing w:line="560" w:lineRule="exact"/>
        <w:rPr>
          <w:rStyle w:val="43"/>
          <w:sz w:val="28"/>
          <w:szCs w:val="28"/>
          <w:u w:val="single"/>
        </w:rPr>
      </w:pPr>
      <w:r>
        <w:rPr>
          <w:rFonts w:hint="eastAsia" w:ascii="仿宋" w:hAnsi="仿宋" w:eastAsia="仿宋" w:cs="仿宋"/>
          <w:sz w:val="28"/>
          <w:szCs w:val="28"/>
        </w:rPr>
        <w:t>供应商名称：</w:t>
      </w:r>
    </w:p>
    <w:p w14:paraId="4B8B8EDC">
      <w:pPr>
        <w:spacing w:line="560" w:lineRule="exact"/>
        <w:rPr>
          <w:rFonts w:ascii="仿宋" w:hAnsi="仿宋" w:eastAsia="仿宋" w:cs="仿宋"/>
          <w:sz w:val="28"/>
          <w:szCs w:val="28"/>
        </w:rPr>
      </w:pPr>
      <w:r>
        <w:rPr>
          <w:rFonts w:hint="eastAsia" w:ascii="仿宋" w:hAnsi="仿宋" w:eastAsia="仿宋" w:cs="仿宋"/>
          <w:sz w:val="28"/>
          <w:szCs w:val="28"/>
        </w:rPr>
        <w:t>单位性质：</w:t>
      </w:r>
    </w:p>
    <w:p w14:paraId="43FE1617">
      <w:pPr>
        <w:spacing w:line="560" w:lineRule="exact"/>
        <w:rPr>
          <w:rFonts w:ascii="仿宋" w:hAnsi="仿宋" w:eastAsia="仿宋" w:cs="仿宋"/>
          <w:sz w:val="28"/>
          <w:szCs w:val="28"/>
        </w:rPr>
      </w:pPr>
      <w:r>
        <w:rPr>
          <w:rFonts w:hint="eastAsia" w:ascii="仿宋" w:hAnsi="仿宋" w:eastAsia="仿宋" w:cs="仿宋"/>
          <w:sz w:val="28"/>
          <w:szCs w:val="28"/>
        </w:rPr>
        <w:t>地址：</w:t>
      </w:r>
    </w:p>
    <w:p w14:paraId="645776AF">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14:paraId="18E22E1F">
      <w:pPr>
        <w:spacing w:line="560" w:lineRule="exact"/>
        <w:rPr>
          <w:rFonts w:ascii="仿宋" w:hAnsi="仿宋" w:eastAsia="仿宋" w:cs="仿宋"/>
          <w:sz w:val="28"/>
          <w:szCs w:val="28"/>
        </w:rPr>
      </w:pPr>
      <w:r>
        <w:rPr>
          <w:rFonts w:hint="eastAsia" w:ascii="仿宋" w:hAnsi="仿宋" w:eastAsia="仿宋" w:cs="仿宋"/>
          <w:sz w:val="28"/>
          <w:szCs w:val="28"/>
        </w:rPr>
        <w:t>经营期限：</w:t>
      </w:r>
    </w:p>
    <w:p w14:paraId="4ABB47C2">
      <w:pPr>
        <w:spacing w:line="560" w:lineRule="exact"/>
        <w:rPr>
          <w:rFonts w:ascii="仿宋" w:hAnsi="仿宋" w:eastAsia="仿宋" w:cs="仿宋"/>
          <w:sz w:val="28"/>
          <w:szCs w:val="28"/>
        </w:rPr>
      </w:pPr>
    </w:p>
    <w:p w14:paraId="294371EA">
      <w:pPr>
        <w:spacing w:line="560" w:lineRule="exact"/>
        <w:rPr>
          <w:rFonts w:ascii="仿宋" w:hAnsi="仿宋" w:eastAsia="仿宋" w:cs="仿宋"/>
          <w:sz w:val="28"/>
          <w:szCs w:val="28"/>
          <w:u w:val="single"/>
        </w:rPr>
      </w:pPr>
      <w:r>
        <w:rPr>
          <w:rFonts w:hint="eastAsia" w:ascii="仿宋" w:hAnsi="仿宋" w:eastAsia="仿宋" w:cs="仿宋"/>
          <w:sz w:val="28"/>
          <w:szCs w:val="28"/>
        </w:rPr>
        <w:t>姓名：性别：年龄：职务：</w:t>
      </w:r>
    </w:p>
    <w:p w14:paraId="6B1BDFAC">
      <w:pPr>
        <w:spacing w:line="560" w:lineRule="exact"/>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（供应商名称）</w:t>
      </w:r>
      <w:r>
        <w:rPr>
          <w:rFonts w:hint="eastAsia" w:ascii="仿宋" w:hAnsi="仿宋" w:eastAsia="仿宋" w:cs="仿宋"/>
          <w:sz w:val="28"/>
          <w:szCs w:val="28"/>
        </w:rPr>
        <w:t>的法定代表人。</w:t>
      </w:r>
    </w:p>
    <w:p w14:paraId="2031071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14371311">
      <w:pPr>
        <w:spacing w:line="560" w:lineRule="exact"/>
        <w:rPr>
          <w:rFonts w:ascii="仿宋" w:hAnsi="仿宋" w:eastAsia="仿宋" w:cs="仿宋"/>
          <w:sz w:val="28"/>
          <w:szCs w:val="28"/>
        </w:rPr>
      </w:pPr>
    </w:p>
    <w:p w14:paraId="6E7414F4">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69D72A4E">
      <w:pPr>
        <w:spacing w:line="560" w:lineRule="exact"/>
        <w:rPr>
          <w:rFonts w:ascii="仿宋" w:hAnsi="仿宋" w:eastAsia="仿宋" w:cs="仿宋"/>
          <w:sz w:val="28"/>
          <w:szCs w:val="28"/>
        </w:rPr>
      </w:pPr>
    </w:p>
    <w:p w14:paraId="264CC0B0">
      <w:pPr>
        <w:spacing w:line="560" w:lineRule="exact"/>
        <w:rPr>
          <w:rFonts w:ascii="仿宋" w:hAnsi="仿宋" w:eastAsia="仿宋" w:cs="仿宋"/>
          <w:sz w:val="28"/>
          <w:szCs w:val="28"/>
        </w:rPr>
      </w:pPr>
    </w:p>
    <w:p w14:paraId="5A425CE2">
      <w:pPr>
        <w:spacing w:line="560" w:lineRule="exact"/>
        <w:rPr>
          <w:rFonts w:ascii="仿宋" w:hAnsi="仿宋" w:eastAsia="仿宋" w:cs="仿宋"/>
          <w:sz w:val="28"/>
          <w:szCs w:val="28"/>
        </w:rPr>
      </w:pPr>
    </w:p>
    <w:p w14:paraId="56C23EBF">
      <w:pPr>
        <w:spacing w:line="560" w:lineRule="exact"/>
        <w:rPr>
          <w:rFonts w:ascii="仿宋" w:hAnsi="仿宋" w:eastAsia="仿宋" w:cs="仿宋"/>
          <w:sz w:val="28"/>
          <w:szCs w:val="28"/>
        </w:rPr>
      </w:pPr>
    </w:p>
    <w:p w14:paraId="7A5B0087">
      <w:pPr>
        <w:spacing w:line="560" w:lineRule="exact"/>
        <w:rPr>
          <w:rFonts w:ascii="仿宋" w:hAnsi="仿宋" w:eastAsia="仿宋" w:cs="仿宋"/>
          <w:sz w:val="28"/>
          <w:szCs w:val="28"/>
        </w:rPr>
      </w:pPr>
    </w:p>
    <w:p w14:paraId="666D91E6">
      <w:pPr>
        <w:spacing w:line="560" w:lineRule="exact"/>
        <w:rPr>
          <w:rFonts w:ascii="仿宋" w:hAnsi="仿宋" w:eastAsia="仿宋" w:cs="仿宋"/>
          <w:sz w:val="28"/>
          <w:szCs w:val="28"/>
        </w:rPr>
      </w:pPr>
    </w:p>
    <w:p w14:paraId="23263355">
      <w:pPr>
        <w:spacing w:line="560" w:lineRule="exact"/>
        <w:rPr>
          <w:rFonts w:ascii="仿宋" w:hAnsi="仿宋" w:eastAsia="仿宋" w:cs="仿宋"/>
          <w:sz w:val="28"/>
          <w:szCs w:val="28"/>
        </w:rPr>
      </w:pPr>
    </w:p>
    <w:p w14:paraId="71BB89A9">
      <w:pPr>
        <w:spacing w:line="560" w:lineRule="exact"/>
        <w:jc w:val="right"/>
        <w:rPr>
          <w:rFonts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（公章）</w:t>
      </w:r>
    </w:p>
    <w:p w14:paraId="4A52E7AE">
      <w:pPr>
        <w:spacing w:line="560" w:lineRule="exact"/>
        <w:jc w:val="right"/>
        <w:rPr>
          <w:rFonts w:ascii="仿宋" w:hAnsi="仿宋" w:eastAsia="仿宋" w:cs="仿宋"/>
          <w:sz w:val="28"/>
          <w:szCs w:val="28"/>
        </w:rPr>
      </w:pPr>
      <w:r>
        <w:rPr>
          <w:rFonts w:hint="eastAsia" w:ascii="仿宋" w:hAnsi="仿宋" w:eastAsia="仿宋" w:cs="仿宋"/>
          <w:sz w:val="28"/>
          <w:szCs w:val="28"/>
        </w:rPr>
        <w:t xml:space="preserve">年月 日           </w:t>
      </w:r>
    </w:p>
    <w:p w14:paraId="370207F9">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r>
        <w:rPr>
          <w:rStyle w:val="43"/>
          <w:rFonts w:hint="eastAsia" w:cs="仿宋"/>
          <w:sz w:val="24"/>
          <w:szCs w:val="24"/>
        </w:rPr>
        <w:t xml:space="preserve">附件    </w:t>
      </w:r>
    </w:p>
    <w:p w14:paraId="52AF6036">
      <w:pPr>
        <w:spacing w:line="560" w:lineRule="exact"/>
        <w:jc w:val="center"/>
        <w:rPr>
          <w:rFonts w:ascii="仿宋" w:hAnsi="仿宋" w:eastAsia="仿宋" w:cs="仿宋"/>
          <w:sz w:val="32"/>
          <w:szCs w:val="32"/>
        </w:rPr>
      </w:pPr>
      <w:r>
        <w:rPr>
          <w:rFonts w:hint="eastAsia" w:ascii="仿宋" w:hAnsi="仿宋" w:eastAsia="仿宋" w:cs="仿宋"/>
          <w:sz w:val="32"/>
          <w:szCs w:val="32"/>
        </w:rPr>
        <w:t>法定代表人授权委托书</w:t>
      </w:r>
    </w:p>
    <w:p w14:paraId="50B1FB63">
      <w:pPr>
        <w:widowControl/>
        <w:autoSpaceDE w:val="0"/>
        <w:autoSpaceDN w:val="0"/>
        <w:adjustRightInd w:val="0"/>
        <w:spacing w:line="560" w:lineRule="exact"/>
        <w:rPr>
          <w:rFonts w:ascii="仿宋" w:hAnsi="仿宋" w:eastAsia="仿宋" w:cs="仿宋"/>
          <w:kern w:val="1"/>
          <w:sz w:val="28"/>
          <w:szCs w:val="28"/>
        </w:rPr>
      </w:pPr>
    </w:p>
    <w:p w14:paraId="48B4CD5C">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6382C99E">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7D94202A">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096C1BBB">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455652F4">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月</w:t>
      </w:r>
      <w:r>
        <w:rPr>
          <w:rStyle w:val="43"/>
          <w:rFonts w:hint="eastAsia" w:cs="仿宋"/>
          <w:sz w:val="28"/>
          <w:szCs w:val="28"/>
          <w:u w:val="single"/>
        </w:rPr>
        <w:t xml:space="preserve">      </w:t>
      </w:r>
      <w:r>
        <w:rPr>
          <w:rStyle w:val="43"/>
          <w:rFonts w:hint="eastAsia" w:cs="仿宋"/>
          <w:sz w:val="28"/>
          <w:szCs w:val="28"/>
        </w:rPr>
        <w:t>日起签字生效,特此声明。</w:t>
      </w:r>
    </w:p>
    <w:p w14:paraId="59BEB7B6">
      <w:pPr>
        <w:widowControl/>
        <w:autoSpaceDE w:val="0"/>
        <w:autoSpaceDN w:val="0"/>
        <w:adjustRightInd w:val="0"/>
        <w:spacing w:line="560" w:lineRule="exact"/>
        <w:rPr>
          <w:rFonts w:ascii="仿宋" w:hAnsi="仿宋" w:eastAsia="仿宋" w:cs="仿宋"/>
          <w:kern w:val="1"/>
          <w:sz w:val="28"/>
          <w:szCs w:val="28"/>
        </w:rPr>
      </w:pPr>
    </w:p>
    <w:p w14:paraId="4A0D0690">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50459652">
      <w:pPr>
        <w:widowControl/>
        <w:autoSpaceDE w:val="0"/>
        <w:autoSpaceDN w:val="0"/>
        <w:adjustRightInd w:val="0"/>
        <w:spacing w:line="560" w:lineRule="exact"/>
        <w:jc w:val="center"/>
        <w:rPr>
          <w:rFonts w:ascii="仿宋" w:hAnsi="仿宋" w:eastAsia="仿宋" w:cs="仿宋"/>
          <w:kern w:val="1"/>
          <w:sz w:val="28"/>
          <w:szCs w:val="28"/>
        </w:rPr>
      </w:pPr>
    </w:p>
    <w:p w14:paraId="44AEF90E">
      <w:pPr>
        <w:widowControl/>
        <w:autoSpaceDE w:val="0"/>
        <w:autoSpaceDN w:val="0"/>
        <w:adjustRightInd w:val="0"/>
        <w:spacing w:line="560" w:lineRule="exact"/>
        <w:jc w:val="center"/>
        <w:rPr>
          <w:rFonts w:ascii="仿宋" w:hAnsi="仿宋" w:eastAsia="仿宋" w:cs="仿宋"/>
          <w:kern w:val="1"/>
          <w:sz w:val="28"/>
          <w:szCs w:val="28"/>
        </w:rPr>
      </w:pPr>
    </w:p>
    <w:p w14:paraId="519BB046">
      <w:pPr>
        <w:widowControl/>
        <w:autoSpaceDE w:val="0"/>
        <w:autoSpaceDN w:val="0"/>
        <w:adjustRightInd w:val="0"/>
        <w:spacing w:line="560" w:lineRule="exact"/>
        <w:rPr>
          <w:rStyle w:val="43"/>
          <w:rFonts w:cs="仿宋"/>
          <w:sz w:val="28"/>
          <w:szCs w:val="28"/>
          <w:u w:val="single"/>
        </w:rPr>
      </w:pPr>
      <w:r>
        <w:rPr>
          <w:rStyle w:val="43"/>
          <w:rFonts w:hint="eastAsia" w:cs="仿宋"/>
          <w:sz w:val="28"/>
          <w:szCs w:val="28"/>
        </w:rPr>
        <w:t>被授权代表姓名：       性 别：     年 龄：</w:t>
      </w:r>
    </w:p>
    <w:p w14:paraId="5F62FBEA">
      <w:pPr>
        <w:widowControl/>
        <w:autoSpaceDE w:val="0"/>
        <w:autoSpaceDN w:val="0"/>
        <w:adjustRightInd w:val="0"/>
        <w:spacing w:line="560" w:lineRule="exact"/>
        <w:rPr>
          <w:rStyle w:val="43"/>
          <w:rFonts w:cs="仿宋"/>
          <w:sz w:val="28"/>
          <w:szCs w:val="28"/>
          <w:u w:val="single"/>
        </w:rPr>
      </w:pPr>
      <w:r>
        <w:rPr>
          <w:rStyle w:val="43"/>
          <w:rFonts w:hint="eastAsia" w:cs="仿宋"/>
          <w:sz w:val="28"/>
          <w:szCs w:val="28"/>
        </w:rPr>
        <w:t>单  位：                     部 门：     职 务：</w:t>
      </w:r>
    </w:p>
    <w:p w14:paraId="47077CDF">
      <w:pPr>
        <w:widowControl/>
        <w:autoSpaceDE w:val="0"/>
        <w:autoSpaceDN w:val="0"/>
        <w:adjustRightInd w:val="0"/>
        <w:spacing w:line="560" w:lineRule="exact"/>
        <w:rPr>
          <w:rFonts w:ascii="仿宋" w:hAnsi="仿宋" w:eastAsia="仿宋" w:cs="仿宋"/>
          <w:kern w:val="1"/>
          <w:sz w:val="28"/>
          <w:szCs w:val="28"/>
        </w:rPr>
      </w:pPr>
    </w:p>
    <w:p w14:paraId="7E4D68FE">
      <w:pPr>
        <w:widowControl/>
        <w:autoSpaceDE w:val="0"/>
        <w:autoSpaceDN w:val="0"/>
        <w:adjustRightInd w:val="0"/>
        <w:spacing w:line="560" w:lineRule="exact"/>
        <w:ind w:firstLine="4200" w:firstLineChars="1500"/>
        <w:rPr>
          <w:rStyle w:val="43"/>
          <w:rFonts w:cs="仿宋"/>
          <w:sz w:val="28"/>
          <w:szCs w:val="28"/>
          <w:u w:val="single"/>
        </w:rPr>
      </w:pPr>
      <w:r>
        <w:rPr>
          <w:rStyle w:val="43"/>
          <w:rFonts w:hint="eastAsia" w:cs="仿宋"/>
          <w:sz w:val="28"/>
          <w:szCs w:val="28"/>
        </w:rPr>
        <w:t>供应商（公章）：</w:t>
      </w:r>
    </w:p>
    <w:p w14:paraId="08DCD7C7">
      <w:pPr>
        <w:widowControl/>
        <w:autoSpaceDE w:val="0"/>
        <w:autoSpaceDN w:val="0"/>
        <w:adjustRightInd w:val="0"/>
        <w:spacing w:line="560" w:lineRule="exact"/>
        <w:ind w:firstLine="4200" w:firstLineChars="1500"/>
        <w:rPr>
          <w:rStyle w:val="43"/>
          <w:rFonts w:cs="仿宋"/>
          <w:sz w:val="28"/>
          <w:szCs w:val="28"/>
          <w:u w:val="single"/>
        </w:rPr>
      </w:pPr>
      <w:r>
        <w:rPr>
          <w:rStyle w:val="43"/>
          <w:rFonts w:hint="eastAsia" w:cs="仿宋"/>
          <w:sz w:val="28"/>
          <w:szCs w:val="28"/>
        </w:rPr>
        <w:t>法定代表人（签字）：</w:t>
      </w:r>
    </w:p>
    <w:p w14:paraId="55BFF0EF">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0877B96A">
      <w:pPr>
        <w:widowControl/>
        <w:autoSpaceDE w:val="0"/>
        <w:autoSpaceDN w:val="0"/>
        <w:adjustRightInd w:val="0"/>
        <w:spacing w:line="560" w:lineRule="exact"/>
        <w:rPr>
          <w:rFonts w:ascii="仿宋" w:hAnsi="仿宋" w:eastAsia="仿宋" w:cs="仿宋"/>
          <w:szCs w:val="21"/>
        </w:rPr>
      </w:pPr>
      <w:bookmarkStart w:id="39" w:name="_GoBack"/>
      <w:bookmarkEnd w:id="39"/>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0BC3">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41</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F308">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MGRlZjUxYzk1MDA0ZTMwMTBlZmEyMTI1NDc1ZWMifQ=="/>
  </w:docVars>
  <w:rsids>
    <w:rsidRoot w:val="002A068C"/>
    <w:rsid w:val="00000A24"/>
    <w:rsid w:val="0001263A"/>
    <w:rsid w:val="0001346E"/>
    <w:rsid w:val="000153E7"/>
    <w:rsid w:val="00015B21"/>
    <w:rsid w:val="00022A4A"/>
    <w:rsid w:val="00022F25"/>
    <w:rsid w:val="000277AD"/>
    <w:rsid w:val="00027C9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6CDF"/>
    <w:rsid w:val="0012476C"/>
    <w:rsid w:val="00134134"/>
    <w:rsid w:val="001369C5"/>
    <w:rsid w:val="00136D33"/>
    <w:rsid w:val="0013735F"/>
    <w:rsid w:val="001404D8"/>
    <w:rsid w:val="0014169B"/>
    <w:rsid w:val="0014340A"/>
    <w:rsid w:val="00145072"/>
    <w:rsid w:val="00152BDF"/>
    <w:rsid w:val="00155409"/>
    <w:rsid w:val="00164834"/>
    <w:rsid w:val="00170C48"/>
    <w:rsid w:val="00174687"/>
    <w:rsid w:val="00184478"/>
    <w:rsid w:val="00185BF5"/>
    <w:rsid w:val="00192766"/>
    <w:rsid w:val="00192C98"/>
    <w:rsid w:val="00196957"/>
    <w:rsid w:val="001A1A23"/>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2E85"/>
    <w:rsid w:val="00233986"/>
    <w:rsid w:val="00237516"/>
    <w:rsid w:val="00237B4F"/>
    <w:rsid w:val="00242C3A"/>
    <w:rsid w:val="002554CA"/>
    <w:rsid w:val="002618C8"/>
    <w:rsid w:val="00262280"/>
    <w:rsid w:val="00263EE8"/>
    <w:rsid w:val="00265392"/>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A068C"/>
    <w:rsid w:val="002A25C3"/>
    <w:rsid w:val="002A7FBD"/>
    <w:rsid w:val="002B0D61"/>
    <w:rsid w:val="002B0E43"/>
    <w:rsid w:val="002B346F"/>
    <w:rsid w:val="002B5952"/>
    <w:rsid w:val="002B7D8D"/>
    <w:rsid w:val="002C6D83"/>
    <w:rsid w:val="002D09AD"/>
    <w:rsid w:val="002D0BA6"/>
    <w:rsid w:val="002D1D3F"/>
    <w:rsid w:val="002E6073"/>
    <w:rsid w:val="002F33A1"/>
    <w:rsid w:val="002F4E52"/>
    <w:rsid w:val="00300FDD"/>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5CD9"/>
    <w:rsid w:val="003B6BF5"/>
    <w:rsid w:val="003C1CA6"/>
    <w:rsid w:val="003C3454"/>
    <w:rsid w:val="003D2EAD"/>
    <w:rsid w:val="003D3919"/>
    <w:rsid w:val="003D630F"/>
    <w:rsid w:val="003D76E8"/>
    <w:rsid w:val="003E3685"/>
    <w:rsid w:val="003E4C8B"/>
    <w:rsid w:val="003F031B"/>
    <w:rsid w:val="003F4397"/>
    <w:rsid w:val="00400C78"/>
    <w:rsid w:val="00400F47"/>
    <w:rsid w:val="00402253"/>
    <w:rsid w:val="00404905"/>
    <w:rsid w:val="00404B21"/>
    <w:rsid w:val="00411CB2"/>
    <w:rsid w:val="004151AA"/>
    <w:rsid w:val="00420E31"/>
    <w:rsid w:val="00432FB1"/>
    <w:rsid w:val="00434C8A"/>
    <w:rsid w:val="004359BE"/>
    <w:rsid w:val="0043685A"/>
    <w:rsid w:val="00440D6A"/>
    <w:rsid w:val="00441E4E"/>
    <w:rsid w:val="00442503"/>
    <w:rsid w:val="00443280"/>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B0792"/>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7B86"/>
    <w:rsid w:val="005412D5"/>
    <w:rsid w:val="00541D35"/>
    <w:rsid w:val="0054260D"/>
    <w:rsid w:val="00542B3F"/>
    <w:rsid w:val="00544E15"/>
    <w:rsid w:val="00544E2E"/>
    <w:rsid w:val="00546F1A"/>
    <w:rsid w:val="0054707D"/>
    <w:rsid w:val="00547583"/>
    <w:rsid w:val="00552F38"/>
    <w:rsid w:val="0055632A"/>
    <w:rsid w:val="00557A72"/>
    <w:rsid w:val="00560E38"/>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6656"/>
    <w:rsid w:val="00695B00"/>
    <w:rsid w:val="00697E94"/>
    <w:rsid w:val="00697F39"/>
    <w:rsid w:val="006A0655"/>
    <w:rsid w:val="006A215E"/>
    <w:rsid w:val="006A5798"/>
    <w:rsid w:val="006B03C1"/>
    <w:rsid w:val="006B3266"/>
    <w:rsid w:val="006B4B61"/>
    <w:rsid w:val="006C37FE"/>
    <w:rsid w:val="006C60D4"/>
    <w:rsid w:val="006C7358"/>
    <w:rsid w:val="006D23D0"/>
    <w:rsid w:val="006D3F3D"/>
    <w:rsid w:val="006D4414"/>
    <w:rsid w:val="006E3A19"/>
    <w:rsid w:val="006E522C"/>
    <w:rsid w:val="006F0113"/>
    <w:rsid w:val="006F31A4"/>
    <w:rsid w:val="006F453C"/>
    <w:rsid w:val="006F7EF9"/>
    <w:rsid w:val="007000D8"/>
    <w:rsid w:val="00701A4E"/>
    <w:rsid w:val="00702E0E"/>
    <w:rsid w:val="00703107"/>
    <w:rsid w:val="00705D12"/>
    <w:rsid w:val="007074CD"/>
    <w:rsid w:val="00720495"/>
    <w:rsid w:val="007275DF"/>
    <w:rsid w:val="007313BC"/>
    <w:rsid w:val="0073191D"/>
    <w:rsid w:val="00732220"/>
    <w:rsid w:val="00732EBB"/>
    <w:rsid w:val="00734C7E"/>
    <w:rsid w:val="00735862"/>
    <w:rsid w:val="007458C0"/>
    <w:rsid w:val="00753BF1"/>
    <w:rsid w:val="00753EF1"/>
    <w:rsid w:val="007556E3"/>
    <w:rsid w:val="007576A3"/>
    <w:rsid w:val="007608CF"/>
    <w:rsid w:val="00760CDB"/>
    <w:rsid w:val="00761787"/>
    <w:rsid w:val="00762CC6"/>
    <w:rsid w:val="00765EFC"/>
    <w:rsid w:val="00767634"/>
    <w:rsid w:val="0078245C"/>
    <w:rsid w:val="00785740"/>
    <w:rsid w:val="007862E0"/>
    <w:rsid w:val="0078632B"/>
    <w:rsid w:val="0079049E"/>
    <w:rsid w:val="00796013"/>
    <w:rsid w:val="00797F34"/>
    <w:rsid w:val="007A0A74"/>
    <w:rsid w:val="007A3906"/>
    <w:rsid w:val="007A4DCA"/>
    <w:rsid w:val="007A5A55"/>
    <w:rsid w:val="007A7017"/>
    <w:rsid w:val="007B36C4"/>
    <w:rsid w:val="007C3902"/>
    <w:rsid w:val="007C659E"/>
    <w:rsid w:val="007D5AA2"/>
    <w:rsid w:val="007E0809"/>
    <w:rsid w:val="007E0ECE"/>
    <w:rsid w:val="007E23A9"/>
    <w:rsid w:val="007E3E59"/>
    <w:rsid w:val="007E6D3C"/>
    <w:rsid w:val="007F12E4"/>
    <w:rsid w:val="007F33A7"/>
    <w:rsid w:val="007F33DE"/>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60959"/>
    <w:rsid w:val="0086155A"/>
    <w:rsid w:val="0086208E"/>
    <w:rsid w:val="00867680"/>
    <w:rsid w:val="008707E3"/>
    <w:rsid w:val="008713B1"/>
    <w:rsid w:val="00874DC7"/>
    <w:rsid w:val="008774CC"/>
    <w:rsid w:val="00880019"/>
    <w:rsid w:val="00881009"/>
    <w:rsid w:val="00882112"/>
    <w:rsid w:val="00895112"/>
    <w:rsid w:val="00895E20"/>
    <w:rsid w:val="00896E79"/>
    <w:rsid w:val="008A33B7"/>
    <w:rsid w:val="008A5DAF"/>
    <w:rsid w:val="008A7B2B"/>
    <w:rsid w:val="008B1CDB"/>
    <w:rsid w:val="008B3024"/>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19DD"/>
    <w:rsid w:val="009B53A8"/>
    <w:rsid w:val="009B5834"/>
    <w:rsid w:val="009B642F"/>
    <w:rsid w:val="009B64A9"/>
    <w:rsid w:val="009C2D85"/>
    <w:rsid w:val="009C4213"/>
    <w:rsid w:val="009C71CE"/>
    <w:rsid w:val="009D2DC3"/>
    <w:rsid w:val="009D3425"/>
    <w:rsid w:val="009D7683"/>
    <w:rsid w:val="009E28D0"/>
    <w:rsid w:val="009E4C5B"/>
    <w:rsid w:val="009E51F4"/>
    <w:rsid w:val="009F1260"/>
    <w:rsid w:val="009F1BC8"/>
    <w:rsid w:val="00A017D5"/>
    <w:rsid w:val="00A02866"/>
    <w:rsid w:val="00A04418"/>
    <w:rsid w:val="00A044FC"/>
    <w:rsid w:val="00A104EC"/>
    <w:rsid w:val="00A1303E"/>
    <w:rsid w:val="00A269FB"/>
    <w:rsid w:val="00A31993"/>
    <w:rsid w:val="00A437F9"/>
    <w:rsid w:val="00A46AB4"/>
    <w:rsid w:val="00A50087"/>
    <w:rsid w:val="00A50DB8"/>
    <w:rsid w:val="00A63E21"/>
    <w:rsid w:val="00A64087"/>
    <w:rsid w:val="00A660C6"/>
    <w:rsid w:val="00A73160"/>
    <w:rsid w:val="00A7468D"/>
    <w:rsid w:val="00A827F9"/>
    <w:rsid w:val="00A846AC"/>
    <w:rsid w:val="00A8765A"/>
    <w:rsid w:val="00A94E5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B12660"/>
    <w:rsid w:val="00B13E47"/>
    <w:rsid w:val="00B304CD"/>
    <w:rsid w:val="00B346A1"/>
    <w:rsid w:val="00B35DBF"/>
    <w:rsid w:val="00B37478"/>
    <w:rsid w:val="00B44470"/>
    <w:rsid w:val="00B537EE"/>
    <w:rsid w:val="00B61C4C"/>
    <w:rsid w:val="00B62F9B"/>
    <w:rsid w:val="00B639AE"/>
    <w:rsid w:val="00B67431"/>
    <w:rsid w:val="00B73471"/>
    <w:rsid w:val="00B73BD1"/>
    <w:rsid w:val="00B7701B"/>
    <w:rsid w:val="00B810DE"/>
    <w:rsid w:val="00B843E0"/>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621B"/>
    <w:rsid w:val="00BE6406"/>
    <w:rsid w:val="00BE6886"/>
    <w:rsid w:val="00BF14CE"/>
    <w:rsid w:val="00BF4E2D"/>
    <w:rsid w:val="00C02577"/>
    <w:rsid w:val="00C03D2C"/>
    <w:rsid w:val="00C11FE6"/>
    <w:rsid w:val="00C166B0"/>
    <w:rsid w:val="00C24211"/>
    <w:rsid w:val="00C2698E"/>
    <w:rsid w:val="00C30987"/>
    <w:rsid w:val="00C37636"/>
    <w:rsid w:val="00C42105"/>
    <w:rsid w:val="00C44CBF"/>
    <w:rsid w:val="00C52A03"/>
    <w:rsid w:val="00C55F17"/>
    <w:rsid w:val="00C61AF1"/>
    <w:rsid w:val="00C627FB"/>
    <w:rsid w:val="00C76A97"/>
    <w:rsid w:val="00C86661"/>
    <w:rsid w:val="00C95F7D"/>
    <w:rsid w:val="00CA0851"/>
    <w:rsid w:val="00CA1546"/>
    <w:rsid w:val="00CA2072"/>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7AAB"/>
    <w:rsid w:val="00D203E7"/>
    <w:rsid w:val="00D2670F"/>
    <w:rsid w:val="00D40E8E"/>
    <w:rsid w:val="00D46EDF"/>
    <w:rsid w:val="00D47DA5"/>
    <w:rsid w:val="00D53B44"/>
    <w:rsid w:val="00D54E51"/>
    <w:rsid w:val="00D61976"/>
    <w:rsid w:val="00D638E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51E6"/>
    <w:rsid w:val="00E27521"/>
    <w:rsid w:val="00E338B1"/>
    <w:rsid w:val="00E33A2B"/>
    <w:rsid w:val="00E36B25"/>
    <w:rsid w:val="00E37D9A"/>
    <w:rsid w:val="00E41AE9"/>
    <w:rsid w:val="00E43F6A"/>
    <w:rsid w:val="00E4423F"/>
    <w:rsid w:val="00E444AF"/>
    <w:rsid w:val="00E448B5"/>
    <w:rsid w:val="00E46CC3"/>
    <w:rsid w:val="00E62319"/>
    <w:rsid w:val="00E6487D"/>
    <w:rsid w:val="00E66218"/>
    <w:rsid w:val="00E702C4"/>
    <w:rsid w:val="00E72FC9"/>
    <w:rsid w:val="00E7521A"/>
    <w:rsid w:val="00E8452A"/>
    <w:rsid w:val="00E928F9"/>
    <w:rsid w:val="00EA3039"/>
    <w:rsid w:val="00EA6202"/>
    <w:rsid w:val="00EA6475"/>
    <w:rsid w:val="00EB1350"/>
    <w:rsid w:val="00EB58F6"/>
    <w:rsid w:val="00EB7BAC"/>
    <w:rsid w:val="00EC3C9A"/>
    <w:rsid w:val="00EC48A1"/>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30D97"/>
    <w:rsid w:val="00F3296B"/>
    <w:rsid w:val="00F3759E"/>
    <w:rsid w:val="00F37714"/>
    <w:rsid w:val="00F43F0D"/>
    <w:rsid w:val="00F51DE2"/>
    <w:rsid w:val="00F51F76"/>
    <w:rsid w:val="00F529AA"/>
    <w:rsid w:val="00F53EC3"/>
    <w:rsid w:val="00F54FEA"/>
    <w:rsid w:val="00F554E8"/>
    <w:rsid w:val="00F575AD"/>
    <w:rsid w:val="00F63D15"/>
    <w:rsid w:val="00F665AB"/>
    <w:rsid w:val="00F75558"/>
    <w:rsid w:val="00F75C54"/>
    <w:rsid w:val="00F764EC"/>
    <w:rsid w:val="00F8063A"/>
    <w:rsid w:val="00F82986"/>
    <w:rsid w:val="00F83661"/>
    <w:rsid w:val="00F87C56"/>
    <w:rsid w:val="00F93739"/>
    <w:rsid w:val="00F9728D"/>
    <w:rsid w:val="00FA6990"/>
    <w:rsid w:val="00FB1AFB"/>
    <w:rsid w:val="00FB2C1B"/>
    <w:rsid w:val="00FB481D"/>
    <w:rsid w:val="00FB49DD"/>
    <w:rsid w:val="00FC2951"/>
    <w:rsid w:val="00FC3570"/>
    <w:rsid w:val="00FC6E2A"/>
    <w:rsid w:val="00FE01D9"/>
    <w:rsid w:val="00FE5808"/>
    <w:rsid w:val="00FE699B"/>
    <w:rsid w:val="00FF44DD"/>
    <w:rsid w:val="00FF5FC8"/>
    <w:rsid w:val="00FF7504"/>
    <w:rsid w:val="01543698"/>
    <w:rsid w:val="01716B58"/>
    <w:rsid w:val="01C521B3"/>
    <w:rsid w:val="02290C40"/>
    <w:rsid w:val="022D440E"/>
    <w:rsid w:val="027E74A7"/>
    <w:rsid w:val="028546EB"/>
    <w:rsid w:val="04C70B93"/>
    <w:rsid w:val="05675B81"/>
    <w:rsid w:val="05945F5E"/>
    <w:rsid w:val="05BF54E7"/>
    <w:rsid w:val="062444CC"/>
    <w:rsid w:val="068C54B9"/>
    <w:rsid w:val="07634BF4"/>
    <w:rsid w:val="07C70DC4"/>
    <w:rsid w:val="09302B22"/>
    <w:rsid w:val="093A12E4"/>
    <w:rsid w:val="098B21D8"/>
    <w:rsid w:val="09EF7ED0"/>
    <w:rsid w:val="0A3A6A1B"/>
    <w:rsid w:val="0ADA18CC"/>
    <w:rsid w:val="0B003157"/>
    <w:rsid w:val="0BB914B6"/>
    <w:rsid w:val="0BD7795F"/>
    <w:rsid w:val="0C667EA6"/>
    <w:rsid w:val="0D062084"/>
    <w:rsid w:val="11072A94"/>
    <w:rsid w:val="123419D2"/>
    <w:rsid w:val="13032411"/>
    <w:rsid w:val="137E0E9A"/>
    <w:rsid w:val="13846168"/>
    <w:rsid w:val="13FC1FA7"/>
    <w:rsid w:val="143F7E4F"/>
    <w:rsid w:val="14A44FB8"/>
    <w:rsid w:val="156D4658"/>
    <w:rsid w:val="161679A7"/>
    <w:rsid w:val="169828CD"/>
    <w:rsid w:val="1707435F"/>
    <w:rsid w:val="18C13618"/>
    <w:rsid w:val="19F1668A"/>
    <w:rsid w:val="1C02130A"/>
    <w:rsid w:val="1CAC2742"/>
    <w:rsid w:val="1DCD6AB3"/>
    <w:rsid w:val="1E0F2B51"/>
    <w:rsid w:val="1E311151"/>
    <w:rsid w:val="1E376FDF"/>
    <w:rsid w:val="1FFA69B8"/>
    <w:rsid w:val="209D31DB"/>
    <w:rsid w:val="20EE6564"/>
    <w:rsid w:val="219A5FA9"/>
    <w:rsid w:val="23E0478E"/>
    <w:rsid w:val="24C43A2C"/>
    <w:rsid w:val="25813496"/>
    <w:rsid w:val="268259AE"/>
    <w:rsid w:val="26C52111"/>
    <w:rsid w:val="26E85EC8"/>
    <w:rsid w:val="26EA0A6E"/>
    <w:rsid w:val="26FE030A"/>
    <w:rsid w:val="27D668C5"/>
    <w:rsid w:val="27E76110"/>
    <w:rsid w:val="28246ECE"/>
    <w:rsid w:val="29012D28"/>
    <w:rsid w:val="2AB9711D"/>
    <w:rsid w:val="2B2937A5"/>
    <w:rsid w:val="2CF7573E"/>
    <w:rsid w:val="2D925870"/>
    <w:rsid w:val="2DEF26D6"/>
    <w:rsid w:val="310A7126"/>
    <w:rsid w:val="32C335B1"/>
    <w:rsid w:val="3332229A"/>
    <w:rsid w:val="334127DE"/>
    <w:rsid w:val="34CB024D"/>
    <w:rsid w:val="34DB551B"/>
    <w:rsid w:val="35235397"/>
    <w:rsid w:val="355D0B43"/>
    <w:rsid w:val="35FA38AD"/>
    <w:rsid w:val="367810B3"/>
    <w:rsid w:val="37221E07"/>
    <w:rsid w:val="37E94405"/>
    <w:rsid w:val="391D43D1"/>
    <w:rsid w:val="3A714E4B"/>
    <w:rsid w:val="3AC32048"/>
    <w:rsid w:val="3ADA04DA"/>
    <w:rsid w:val="3AF24716"/>
    <w:rsid w:val="3B24224C"/>
    <w:rsid w:val="3B466628"/>
    <w:rsid w:val="3BED2703"/>
    <w:rsid w:val="3D00619F"/>
    <w:rsid w:val="3D460945"/>
    <w:rsid w:val="3F7B0218"/>
    <w:rsid w:val="408D131E"/>
    <w:rsid w:val="40D03ED8"/>
    <w:rsid w:val="410F047F"/>
    <w:rsid w:val="416F4571"/>
    <w:rsid w:val="41A63A30"/>
    <w:rsid w:val="41DB4140"/>
    <w:rsid w:val="429107C7"/>
    <w:rsid w:val="42A95791"/>
    <w:rsid w:val="42ED13C2"/>
    <w:rsid w:val="44891D0D"/>
    <w:rsid w:val="44B73D07"/>
    <w:rsid w:val="452D76AA"/>
    <w:rsid w:val="46145D49"/>
    <w:rsid w:val="468A6CBC"/>
    <w:rsid w:val="48FC1291"/>
    <w:rsid w:val="4C310D9C"/>
    <w:rsid w:val="4CF25CB3"/>
    <w:rsid w:val="4E071BA4"/>
    <w:rsid w:val="4E112440"/>
    <w:rsid w:val="4E2D31EF"/>
    <w:rsid w:val="4E985EB2"/>
    <w:rsid w:val="4FC058C6"/>
    <w:rsid w:val="51033196"/>
    <w:rsid w:val="510C5E54"/>
    <w:rsid w:val="51575697"/>
    <w:rsid w:val="52216A9B"/>
    <w:rsid w:val="52427E13"/>
    <w:rsid w:val="52DA0CA4"/>
    <w:rsid w:val="52EF13E6"/>
    <w:rsid w:val="536966BB"/>
    <w:rsid w:val="546C4689"/>
    <w:rsid w:val="547418E3"/>
    <w:rsid w:val="54BA568B"/>
    <w:rsid w:val="54C26BFC"/>
    <w:rsid w:val="557266CE"/>
    <w:rsid w:val="561A7EC6"/>
    <w:rsid w:val="572946A1"/>
    <w:rsid w:val="572959A2"/>
    <w:rsid w:val="57CA5ED2"/>
    <w:rsid w:val="57E71486"/>
    <w:rsid w:val="59561FE0"/>
    <w:rsid w:val="59943EF2"/>
    <w:rsid w:val="5A1C03AD"/>
    <w:rsid w:val="5ADE61AD"/>
    <w:rsid w:val="5B7976B8"/>
    <w:rsid w:val="5B9A25B0"/>
    <w:rsid w:val="5BCE0BDB"/>
    <w:rsid w:val="5C82428E"/>
    <w:rsid w:val="5C827377"/>
    <w:rsid w:val="5C930B9D"/>
    <w:rsid w:val="5D463571"/>
    <w:rsid w:val="5D936DD3"/>
    <w:rsid w:val="5E5A674B"/>
    <w:rsid w:val="5F251B4F"/>
    <w:rsid w:val="5F916509"/>
    <w:rsid w:val="60952107"/>
    <w:rsid w:val="60E44589"/>
    <w:rsid w:val="614B680F"/>
    <w:rsid w:val="62B343FC"/>
    <w:rsid w:val="635A7DCF"/>
    <w:rsid w:val="6477675E"/>
    <w:rsid w:val="64D62D2E"/>
    <w:rsid w:val="6581630D"/>
    <w:rsid w:val="663C4348"/>
    <w:rsid w:val="66C467C4"/>
    <w:rsid w:val="670C7632"/>
    <w:rsid w:val="6790376D"/>
    <w:rsid w:val="68053023"/>
    <w:rsid w:val="695D4175"/>
    <w:rsid w:val="6A072A7D"/>
    <w:rsid w:val="6B24299C"/>
    <w:rsid w:val="6BCA7704"/>
    <w:rsid w:val="6C2F5391"/>
    <w:rsid w:val="6DB0087C"/>
    <w:rsid w:val="6E5019D7"/>
    <w:rsid w:val="6E71237D"/>
    <w:rsid w:val="6FB94521"/>
    <w:rsid w:val="71B143BB"/>
    <w:rsid w:val="723C5848"/>
    <w:rsid w:val="7322493E"/>
    <w:rsid w:val="73FA3EA6"/>
    <w:rsid w:val="75180085"/>
    <w:rsid w:val="77361B13"/>
    <w:rsid w:val="790A232E"/>
    <w:rsid w:val="794719E5"/>
    <w:rsid w:val="7A5837C2"/>
    <w:rsid w:val="7A81476E"/>
    <w:rsid w:val="7D6C7C31"/>
    <w:rsid w:val="7D6F2271"/>
    <w:rsid w:val="7DAB50A0"/>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仿宋" w:hAnsi="仿宋" w:eastAsia="仿宋"/>
      <w:sz w:val="28"/>
      <w:szCs w:val="28"/>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autoRedefine/>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autoRedefine/>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autoRedefine/>
    <w:qFormat/>
    <w:uiPriority w:val="0"/>
    <w:rPr>
      <w:rFonts w:ascii="仿宋" w:hAnsi="仿宋" w:eastAsia="仿宋"/>
      <w:kern w:val="1"/>
    </w:rPr>
  </w:style>
  <w:style w:type="character" w:customStyle="1" w:styleId="44">
    <w:name w:val="纯文本 Char1"/>
    <w:link w:val="16"/>
    <w:autoRedefine/>
    <w:qFormat/>
    <w:locked/>
    <w:uiPriority w:val="0"/>
    <w:rPr>
      <w:rFonts w:ascii="仿宋" w:hAnsi="仿宋" w:eastAsia="仿宋"/>
      <w:kern w:val="2"/>
      <w:sz w:val="28"/>
      <w:szCs w:val="28"/>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autoRedefine/>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autoRedefine/>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autoRedefine/>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autoRedefine/>
    <w:qFormat/>
    <w:uiPriority w:val="0"/>
    <w:rPr>
      <w:rFonts w:hint="eastAsia" w:ascii="宋体" w:hAnsi="宋体" w:eastAsia="宋体" w:cs="宋体"/>
      <w:color w:val="000000"/>
      <w:sz w:val="18"/>
      <w:szCs w:val="18"/>
      <w:u w:val="none"/>
    </w:rPr>
  </w:style>
  <w:style w:type="table" w:customStyle="1" w:styleId="16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15</Pages>
  <Words>4482</Words>
  <Characters>4913</Characters>
  <Lines>144</Lines>
  <Paragraphs>40</Paragraphs>
  <TotalTime>122</TotalTime>
  <ScaleCrop>false</ScaleCrop>
  <LinksUpToDate>false</LinksUpToDate>
  <CharactersWithSpaces>5201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Administrator</cp:lastModifiedBy>
  <cp:lastPrinted>2024-12-04T02:16:00Z</cp:lastPrinted>
  <dcterms:modified xsi:type="dcterms:W3CDTF">2024-12-06T01:32:00Z</dcterms:modified>
  <dc:subject>青岛市政府采购采购文件范本</dc:subject>
  <dc:title>青岛市政府采购采购文件范本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48AC9C416E5743568F7C620748F6F4AE_13</vt:lpwstr>
  </property>
</Properties>
</file>