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1C7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52"/>
          <w:szCs w:val="52"/>
          <w:highlight w:val="none"/>
          <w:lang w:val="en-US" w:eastAsia="zh-CN"/>
        </w:rPr>
      </w:pPr>
      <w:r>
        <w:rPr>
          <w:rFonts w:hint="default" w:ascii="仿宋" w:hAnsi="仿宋" w:eastAsia="仿宋" w:cs="仿宋"/>
          <w:b/>
          <w:bCs/>
          <w:color w:val="auto"/>
          <w:kern w:val="0"/>
          <w:sz w:val="52"/>
          <w:szCs w:val="52"/>
          <w:highlight w:val="none"/>
          <w:lang w:val="en-US" w:eastAsia="zh-CN"/>
        </w:rPr>
        <w:t>青岛高实产业投资控股有限公司</w:t>
      </w:r>
      <w:r>
        <w:rPr>
          <w:rFonts w:hint="eastAsia" w:ascii="仿宋" w:hAnsi="仿宋" w:eastAsia="仿宋" w:cs="仿宋"/>
          <w:b/>
          <w:bCs/>
          <w:color w:val="auto"/>
          <w:kern w:val="0"/>
          <w:sz w:val="52"/>
          <w:szCs w:val="52"/>
          <w:highlight w:val="none"/>
          <w:lang w:val="en-US" w:eastAsia="zh-CN"/>
        </w:rPr>
        <w:t>、青岛红发投资有限公司、青岛高新区环湾商砼有限公司财务尽调服务</w:t>
      </w:r>
    </w:p>
    <w:p w14:paraId="73EE959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color w:val="auto"/>
          <w:kern w:val="0"/>
          <w:sz w:val="52"/>
          <w:szCs w:val="52"/>
          <w:highlight w:val="none"/>
          <w:lang w:val="en-US" w:eastAsia="zh-CN"/>
        </w:rPr>
      </w:pPr>
      <w:r>
        <w:rPr>
          <w:rFonts w:hint="eastAsia" w:ascii="仿宋" w:hAnsi="仿宋" w:eastAsia="仿宋" w:cs="仿宋"/>
          <w:b/>
          <w:bCs/>
          <w:color w:val="auto"/>
          <w:kern w:val="0"/>
          <w:sz w:val="52"/>
          <w:szCs w:val="52"/>
          <w:highlight w:val="none"/>
          <w:lang w:val="en-US" w:eastAsia="zh-CN"/>
        </w:rPr>
        <w:t>采购公告</w:t>
      </w:r>
    </w:p>
    <w:p w14:paraId="12B838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52"/>
          <w:szCs w:val="52"/>
          <w:highlight w:val="none"/>
          <w:lang w:eastAsia="zh-CN"/>
        </w:rPr>
      </w:pPr>
    </w:p>
    <w:p w14:paraId="6B7E519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sz w:val="28"/>
          <w:szCs w:val="28"/>
          <w:highlight w:val="none"/>
          <w:lang w:val="en-US" w:eastAsia="zh-CN"/>
        </w:rPr>
      </w:pPr>
      <w:bookmarkStart w:id="0" w:name="_Toc30348"/>
      <w:r>
        <w:rPr>
          <w:rFonts w:hint="default" w:ascii="仿宋" w:hAnsi="仿宋" w:eastAsia="仿宋" w:cs="仿宋"/>
          <w:sz w:val="28"/>
          <w:szCs w:val="28"/>
          <w:highlight w:val="none"/>
          <w:lang w:val="en-US" w:eastAsia="zh-CN"/>
        </w:rPr>
        <w:t>青岛高实产业投资控股有限公司</w:t>
      </w:r>
      <w:r>
        <w:rPr>
          <w:rFonts w:hint="eastAsia" w:ascii="仿宋" w:hAnsi="仿宋" w:eastAsia="仿宋" w:cs="仿宋"/>
          <w:sz w:val="28"/>
          <w:szCs w:val="28"/>
          <w:highlight w:val="none"/>
          <w:lang w:val="en-US" w:eastAsia="zh-CN"/>
        </w:rPr>
        <w:t>、青岛红发投资有限公司、青岛高新区环湾商砼有限公司根据业务开展需要，拟对将要开展的业务进行财务尽职调查，欢迎符合资格条件的单位参加投标报价。</w:t>
      </w:r>
      <w:bookmarkEnd w:id="0"/>
    </w:p>
    <w:p w14:paraId="46C7B120">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1.项目编号</w:t>
      </w:r>
      <w:r>
        <w:rPr>
          <w:rFonts w:hint="eastAsia" w:ascii="仿宋" w:hAnsi="仿宋" w:eastAsia="仿宋" w:cs="仿宋"/>
          <w:sz w:val="28"/>
          <w:szCs w:val="28"/>
          <w:highlight w:val="none"/>
          <w:lang w:val="en-US" w:eastAsia="zh-CN"/>
        </w:rPr>
        <w:t>：CT-2025-002</w:t>
      </w:r>
    </w:p>
    <w:p w14:paraId="1AFF9596">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2.项目概况</w:t>
      </w:r>
    </w:p>
    <w:p w14:paraId="588D507F">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本项目共分2个包</w:t>
      </w:r>
    </w:p>
    <w:p w14:paraId="7A30EDAA">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第一包：</w:t>
      </w:r>
      <w:r>
        <w:rPr>
          <w:rFonts w:hint="default" w:ascii="仿宋" w:hAnsi="仿宋" w:eastAsia="仿宋" w:cs="仿宋"/>
          <w:sz w:val="28"/>
          <w:szCs w:val="28"/>
          <w:highlight w:val="none"/>
          <w:lang w:val="en-US" w:eastAsia="zh-CN"/>
        </w:rPr>
        <w:t>青岛高实产业投资控股有限公司</w:t>
      </w:r>
      <w:r>
        <w:rPr>
          <w:rFonts w:hint="eastAsia" w:ascii="仿宋" w:hAnsi="仿宋" w:eastAsia="仿宋" w:cs="仿宋"/>
          <w:sz w:val="28"/>
          <w:szCs w:val="28"/>
          <w:highlight w:val="none"/>
          <w:lang w:val="en-US" w:eastAsia="zh-CN"/>
        </w:rPr>
        <w:t>、青岛红发投资有限公司拟与威高（上海）私募基金管理有限公司、</w:t>
      </w:r>
      <w:r>
        <w:rPr>
          <w:rFonts w:hint="default" w:ascii="仿宋" w:hAnsi="仿宋" w:eastAsia="仿宋" w:cs="仿宋"/>
          <w:sz w:val="28"/>
          <w:szCs w:val="28"/>
          <w:highlight w:val="none"/>
          <w:lang w:val="en-US" w:eastAsia="zh-CN"/>
        </w:rPr>
        <w:t>于海涛</w:t>
      </w:r>
      <w:r>
        <w:rPr>
          <w:rFonts w:hint="eastAsia" w:ascii="仿宋" w:hAnsi="仿宋" w:eastAsia="仿宋" w:cs="仿宋"/>
          <w:sz w:val="28"/>
          <w:szCs w:val="28"/>
          <w:highlight w:val="none"/>
          <w:lang w:val="en-US" w:eastAsia="zh-CN"/>
        </w:rPr>
        <w:t>（自然人）合资成立</w:t>
      </w:r>
      <w:r>
        <w:rPr>
          <w:rFonts w:hint="default" w:ascii="仿宋" w:hAnsi="仿宋" w:eastAsia="仿宋" w:cs="仿宋"/>
          <w:sz w:val="28"/>
          <w:szCs w:val="28"/>
          <w:highlight w:val="none"/>
          <w:lang w:val="en-US" w:eastAsia="zh-CN"/>
        </w:rPr>
        <w:t>青岛高新健康产业有限公司</w:t>
      </w:r>
      <w:r>
        <w:rPr>
          <w:rFonts w:hint="eastAsia" w:ascii="仿宋" w:hAnsi="仿宋" w:eastAsia="仿宋" w:cs="仿宋"/>
          <w:sz w:val="28"/>
          <w:szCs w:val="28"/>
          <w:highlight w:val="none"/>
          <w:lang w:val="en-US" w:eastAsia="zh-CN"/>
        </w:rPr>
        <w:t>及合资成立青岛高实威高大健康产业投资基金合伙企业（有限合伙）项目。</w:t>
      </w:r>
    </w:p>
    <w:p w14:paraId="31CC0530">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第二包：青岛高新区环湾商砼有限公司拟与山东正岳项目管理有限公司合作经营项目。</w:t>
      </w:r>
    </w:p>
    <w:p w14:paraId="67EB18B0">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3.项目财务尽调对象</w:t>
      </w:r>
    </w:p>
    <w:p w14:paraId="7011567D">
      <w:pPr>
        <w:spacing w:line="5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 第一包需要对威高（上海）私募基金管理有限公司、</w:t>
      </w:r>
      <w:r>
        <w:rPr>
          <w:rFonts w:hint="default" w:ascii="仿宋" w:hAnsi="仿宋" w:eastAsia="仿宋" w:cs="仿宋"/>
          <w:sz w:val="28"/>
          <w:szCs w:val="28"/>
          <w:highlight w:val="none"/>
          <w:lang w:val="en-US" w:eastAsia="zh-CN"/>
        </w:rPr>
        <w:t>于海涛</w:t>
      </w:r>
      <w:r>
        <w:rPr>
          <w:rFonts w:hint="eastAsia" w:ascii="仿宋" w:hAnsi="仿宋" w:eastAsia="仿宋" w:cs="仿宋"/>
          <w:sz w:val="28"/>
          <w:szCs w:val="28"/>
          <w:highlight w:val="none"/>
          <w:lang w:val="en-US" w:eastAsia="zh-CN"/>
        </w:rPr>
        <w:t>（自然人）进行财务尽调。</w:t>
      </w:r>
    </w:p>
    <w:p w14:paraId="19505C00">
      <w:pPr>
        <w:spacing w:line="54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 第二包需要对山东正岳项目管理有限公司及公司全部股东进行财务尽调。</w:t>
      </w:r>
    </w:p>
    <w:p w14:paraId="70821D7B">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4.项目采购控制价</w:t>
      </w:r>
    </w:p>
    <w:p w14:paraId="05FB7FD5">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 第一包财务尽调服务费税前报价不高于24528.29元。</w:t>
      </w:r>
    </w:p>
    <w:p w14:paraId="40072300">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 第二包财务尽调服务费税前报价不高于24528.29元。</w:t>
      </w:r>
    </w:p>
    <w:p w14:paraId="3375227B">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5.报名单位资格要求</w:t>
      </w:r>
    </w:p>
    <w:p w14:paraId="7193BF60">
      <w:pPr>
        <w:pStyle w:val="11"/>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5.1 注册于中华人民共和国内的合法会计师事务所机构，各供应商不得有企业关联或股权关系。</w:t>
      </w:r>
      <w:r>
        <w:rPr>
          <w:rFonts w:hint="eastAsia" w:ascii="仿宋" w:hAnsi="仿宋" w:eastAsia="仿宋" w:cs="仿宋"/>
          <w:kern w:val="2"/>
          <w:sz w:val="28"/>
          <w:szCs w:val="28"/>
          <w:highlight w:val="none"/>
          <w:lang w:val="en-US" w:eastAsia="zh-CN" w:bidi="ar-SA"/>
        </w:rPr>
        <w:br w:type="textWrapping"/>
      </w:r>
      <w:r>
        <w:rPr>
          <w:rFonts w:hint="eastAsia" w:ascii="仿宋" w:hAnsi="仿宋" w:eastAsia="仿宋" w:cs="仿宋"/>
          <w:kern w:val="2"/>
          <w:sz w:val="28"/>
          <w:szCs w:val="28"/>
          <w:highlight w:val="none"/>
          <w:lang w:val="en-US" w:eastAsia="zh-CN" w:bidi="ar-SA"/>
        </w:rPr>
        <w:t>5.2 询价函发布之日前三年内无行贿犯罪等重大违法记录。</w:t>
      </w:r>
    </w:p>
    <w:p w14:paraId="5D4E6CC7">
      <w:pPr>
        <w:keepNext w:val="0"/>
        <w:keepLines w:val="0"/>
        <w:pageBreakBefore w:val="0"/>
        <w:widowControl w:val="0"/>
        <w:kinsoku/>
        <w:wordWrap/>
        <w:overflowPunct/>
        <w:topLinePunct w:val="0"/>
        <w:autoSpaceDE/>
        <w:autoSpaceDN/>
        <w:bidi w:val="0"/>
        <w:adjustRightInd/>
        <w:snapToGrid/>
        <w:spacing w:line="480" w:lineRule="exact"/>
        <w:ind w:left="0" w:leftChars="0" w:firstLine="638" w:firstLineChars="228"/>
        <w:jc w:val="left"/>
        <w:textAlignment w:val="auto"/>
        <w:outlineLvl w:val="1"/>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5.3 未曾对采购单位生产经营产生不良影响，与采购单位产生合同、法律纠纷的不得参加投标。</w:t>
      </w:r>
    </w:p>
    <w:p w14:paraId="4800EF54">
      <w:pPr>
        <w:pStyle w:val="2"/>
        <w:ind w:firstLine="280" w:firstLineChars="100"/>
        <w:rPr>
          <w:rFonts w:hint="default"/>
          <w:highlight w:val="none"/>
          <w:lang w:val="en-US" w:eastAsia="zh-CN"/>
        </w:rPr>
      </w:pPr>
      <w:r>
        <w:rPr>
          <w:rFonts w:hint="eastAsia" w:ascii="仿宋" w:hAnsi="仿宋" w:eastAsia="仿宋" w:cs="仿宋"/>
          <w:kern w:val="2"/>
          <w:sz w:val="28"/>
          <w:szCs w:val="28"/>
          <w:highlight w:val="none"/>
          <w:lang w:val="en-US" w:eastAsia="zh-CN" w:bidi="ar-SA"/>
        </w:rPr>
        <w:t>5.4两个包兼投不兼中。</w:t>
      </w:r>
    </w:p>
    <w:p w14:paraId="5BB03A3A">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6.参加投标单位的数量及参加投标项目数量</w:t>
      </w:r>
    </w:p>
    <w:p w14:paraId="246A66B5">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6.1 每包参加投标的单位不低于5家，低于5家不予开标。</w:t>
      </w:r>
    </w:p>
    <w:p w14:paraId="50F7CB12">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6.2 参加投标的单位可同时参加两个包的投标，但不得同时中标两包。</w:t>
      </w:r>
    </w:p>
    <w:p w14:paraId="006A45CC">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7.评标方式</w:t>
      </w:r>
    </w:p>
    <w:p w14:paraId="515FFE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第一包和第二包同时开标，分别进行报价。每个包件共两轮报价和一轮竞谈。</w:t>
      </w:r>
    </w:p>
    <w:p w14:paraId="121E1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第一轮报价结束后按照税前报价由高到低淘汰1/3（取整）。</w:t>
      </w:r>
    </w:p>
    <w:p w14:paraId="57F062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第二轮参与报价单位在第一轮税前报价基础上自主下浮，报价结束后按照税前报价由高到低淘汰1/3（取整），若第二轮参与单位只有三家则不进行淘汰。</w:t>
      </w:r>
    </w:p>
    <w:p w14:paraId="2E82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第三轮按照第二轮各单位的税前报价由高到低依次进行竞谈，最终通过竞争性谈判确定各包中标单位。</w:t>
      </w:r>
    </w:p>
    <w:p w14:paraId="5EF9BE51">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8.报名所需材料、提交方式及时间</w:t>
      </w:r>
    </w:p>
    <w:p w14:paraId="6A698EB9">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8.1 报名材料</w:t>
      </w:r>
    </w:p>
    <w:p w14:paraId="3A5C9D55">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（1）执业许可证复印件；</w:t>
      </w:r>
    </w:p>
    <w:p w14:paraId="3F5F713C">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（2）法定代表人身份证明或法定代表人授权委托书；</w:t>
      </w:r>
    </w:p>
    <w:p w14:paraId="2A704D1D">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（3）在经营活动中无重大违法记录和行贿犯罪记录的承诺（通过中国裁判文书网（http://wenshu.court.gov.cn)查询供应商、法定代表人无行贿犯罪记录的查询结果截图）。</w:t>
      </w:r>
    </w:p>
    <w:p w14:paraId="4B288F0B">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（4）通过“信用中国”网站（www.creditchina.gov.cn）、中国政府采购网（www.ccgp.gov.cn）查询，未被列入失信被执行人、重大税收违法案件当事人、政府采购严重违法失信行为记录等名单的查询结果截图。</w:t>
      </w:r>
    </w:p>
    <w:p w14:paraId="5CE7CE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8.2 报名材料提交方式</w:t>
      </w:r>
    </w:p>
    <w:p w14:paraId="79998B50">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投标单位将纸质盖章后的报名材料送达青岛高新区环湾商砼有限公司综合部，联系人：吕经理 电话15969888663。</w:t>
      </w:r>
    </w:p>
    <w:p w14:paraId="2669025E">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 报名时间</w:t>
      </w:r>
    </w:p>
    <w:p w14:paraId="1C3863E1">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报名时间自2025年2月27日9时至2025年2月28日17时，每天上午9：00至11：00，下午14：00至17：00，过时报名无效。</w:t>
      </w:r>
    </w:p>
    <w:p w14:paraId="0E40A521">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9.开标时间、地点及投标文件的提交</w:t>
      </w:r>
    </w:p>
    <w:p w14:paraId="276207B4">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 开标时间：2025年3月3日下午14时</w:t>
      </w:r>
    </w:p>
    <w:p w14:paraId="1FC0B73E">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9.2 开标地点：青岛高新区华贯路与锦暄路交汇处</w:t>
      </w:r>
    </w:p>
    <w:p w14:paraId="31A9FA2B">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9.3 投标文件按照附件一进行编制，一式三份，一正二副。将编制好的投标文件密封到一个档案袋内，于开标时间开始前10分钟现场提交。</w:t>
      </w:r>
    </w:p>
    <w:p w14:paraId="1B9EA61D">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10.中标公示</w:t>
      </w:r>
    </w:p>
    <w:p w14:paraId="7556C3A7">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本项目中标结果在高实集团官网（http://www.qdgsjt.com/）发布，公示2个工作日。公告期限结束后，两个包的采购单位分别与中标单位签订合同，各自承担费用。</w:t>
      </w:r>
    </w:p>
    <w:p w14:paraId="29036D61">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11.联系人</w:t>
      </w:r>
    </w:p>
    <w:p w14:paraId="0CC1F260">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联系人：方经理   电话：13864806732</w:t>
      </w:r>
    </w:p>
    <w:p w14:paraId="4ABA0BD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pPr>
    </w:p>
    <w:p w14:paraId="36445AB9">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青岛高实产业投资控股有限公司</w:t>
      </w:r>
    </w:p>
    <w:p w14:paraId="40484FB4">
      <w:pPr>
        <w:keepNext w:val="0"/>
        <w:keepLines w:val="0"/>
        <w:pageBreakBefore w:val="0"/>
        <w:widowControl w:val="0"/>
        <w:kinsoku/>
        <w:wordWrap/>
        <w:overflowPunct/>
        <w:topLinePunct w:val="0"/>
        <w:autoSpaceDE/>
        <w:autoSpaceDN/>
        <w:bidi w:val="0"/>
        <w:adjustRightInd/>
        <w:snapToGrid/>
        <w:spacing w:line="520" w:lineRule="exact"/>
        <w:ind w:firstLine="3920" w:firstLineChars="1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青岛高新区环湾商砼有限公司</w:t>
      </w:r>
    </w:p>
    <w:p w14:paraId="48F35117">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青岛红发投资有限公司  </w:t>
      </w:r>
    </w:p>
    <w:p w14:paraId="1B474A68">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2025年02月27日</w:t>
      </w:r>
    </w:p>
    <w:p w14:paraId="115AD63B">
      <w:pPr>
        <w:pStyle w:val="2"/>
        <w:ind w:firstLine="3920" w:firstLineChars="1400"/>
        <w:rPr>
          <w:rFonts w:hint="default" w:ascii="仿宋" w:hAnsi="仿宋" w:eastAsia="仿宋" w:cs="仿宋"/>
          <w:sz w:val="28"/>
          <w:szCs w:val="28"/>
          <w:highlight w:val="none"/>
          <w:lang w:val="en-US" w:eastAsia="zh-CN"/>
        </w:rPr>
        <w:sectPr>
          <w:footerReference r:id="rId3" w:type="default"/>
          <w:pgSz w:w="11906" w:h="16838"/>
          <w:pgMar w:top="1440" w:right="1474" w:bottom="1440" w:left="1474" w:header="851" w:footer="992" w:gutter="0"/>
          <w:pgNumType w:fmt="decimal" w:start="1"/>
          <w:cols w:space="425" w:num="1"/>
          <w:docGrid w:type="lines" w:linePitch="312" w:charSpace="0"/>
        </w:sectPr>
      </w:pPr>
      <w:r>
        <w:rPr>
          <w:rFonts w:hint="eastAsia" w:ascii="仿宋" w:hAnsi="仿宋" w:eastAsia="仿宋" w:cs="仿宋"/>
          <w:sz w:val="28"/>
          <w:szCs w:val="28"/>
          <w:highlight w:val="none"/>
          <w:lang w:val="en-US" w:eastAsia="zh-CN"/>
        </w:rPr>
        <w:t xml:space="preserve"> </w:t>
      </w:r>
    </w:p>
    <w:p w14:paraId="765FA3B5">
      <w:pPr>
        <w:spacing w:line="40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p>
    <w:p w14:paraId="63B7DE42">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6531F2AE">
      <w:pPr>
        <w:spacing w:line="400" w:lineRule="exact"/>
        <w:rPr>
          <w:rFonts w:hint="eastAsia" w:ascii="仿宋" w:hAnsi="仿宋" w:eastAsia="仿宋" w:cs="仿宋"/>
          <w:color w:val="auto"/>
          <w:sz w:val="20"/>
          <w:highlight w:val="none"/>
        </w:rPr>
      </w:pPr>
    </w:p>
    <w:p w14:paraId="024A61A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66EFA7D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单位性质：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3DA346A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r>
        <w:rPr>
          <w:rFonts w:hint="eastAsia" w:ascii="仿宋_GB2312" w:hAnsi="仿宋_GB2312" w:eastAsia="仿宋_GB2312" w:cs="仿宋_GB2312"/>
          <w:sz w:val="24"/>
          <w:szCs w:val="24"/>
          <w:highlight w:val="none"/>
          <w:u w:val="single"/>
        </w:rPr>
        <w:t xml:space="preserve">              </w:t>
      </w:r>
    </w:p>
    <w:p w14:paraId="59F25FE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成立时间：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14:paraId="1E1BC7FB">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r>
        <w:rPr>
          <w:rFonts w:hint="eastAsia" w:ascii="仿宋_GB2312" w:hAnsi="仿宋_GB2312" w:eastAsia="仿宋_GB2312" w:cs="仿宋_GB2312"/>
          <w:sz w:val="24"/>
          <w:szCs w:val="24"/>
          <w:highlight w:val="none"/>
          <w:u w:val="single"/>
        </w:rPr>
        <w:t xml:space="preserve">            </w:t>
      </w:r>
    </w:p>
    <w:p w14:paraId="2C113888">
      <w:pPr>
        <w:spacing w:line="360" w:lineRule="auto"/>
        <w:rPr>
          <w:rFonts w:ascii="仿宋_GB2312" w:hAnsi="仿宋_GB2312" w:eastAsia="仿宋_GB2312" w:cs="仿宋_GB2312"/>
          <w:sz w:val="24"/>
          <w:szCs w:val="24"/>
          <w:highlight w:val="none"/>
        </w:rPr>
      </w:pPr>
    </w:p>
    <w:p w14:paraId="25C4FB9D">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性别：</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职务：</w:t>
      </w:r>
      <w:r>
        <w:rPr>
          <w:rFonts w:hint="eastAsia" w:ascii="仿宋_GB2312" w:hAnsi="仿宋_GB2312" w:eastAsia="仿宋_GB2312" w:cs="仿宋_GB2312"/>
          <w:sz w:val="24"/>
          <w:szCs w:val="24"/>
          <w:highlight w:val="none"/>
          <w:u w:val="single"/>
        </w:rPr>
        <w:t xml:space="preserve">     </w:t>
      </w:r>
    </w:p>
    <w:p w14:paraId="7E2E3F37">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名称）的法定代表人。</w:t>
      </w:r>
    </w:p>
    <w:p w14:paraId="1AE6284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特此证明。</w:t>
      </w:r>
    </w:p>
    <w:p w14:paraId="34968C7A">
      <w:pPr>
        <w:spacing w:line="360" w:lineRule="auto"/>
        <w:rPr>
          <w:rFonts w:ascii="仿宋_GB2312" w:hAnsi="仿宋_GB2312" w:eastAsia="仿宋_GB2312" w:cs="仿宋_GB2312"/>
          <w:sz w:val="24"/>
          <w:szCs w:val="24"/>
          <w:highlight w:val="none"/>
        </w:rPr>
      </w:pPr>
    </w:p>
    <w:p w14:paraId="06C0A08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附：法定代表人身份证复印件。</w:t>
      </w:r>
    </w:p>
    <w:p w14:paraId="0BC24D6E">
      <w:pPr>
        <w:spacing w:line="360" w:lineRule="auto"/>
        <w:rPr>
          <w:rFonts w:ascii="仿宋_GB2312" w:hAnsi="仿宋_GB2312" w:eastAsia="仿宋_GB2312" w:cs="仿宋_GB2312"/>
          <w:sz w:val="24"/>
          <w:szCs w:val="24"/>
          <w:highlight w:val="none"/>
        </w:rPr>
      </w:pPr>
    </w:p>
    <w:p w14:paraId="24602B68">
      <w:pPr>
        <w:spacing w:line="360" w:lineRule="auto"/>
        <w:rPr>
          <w:rFonts w:ascii="仿宋_GB2312" w:hAnsi="仿宋_GB2312" w:eastAsia="仿宋_GB2312" w:cs="仿宋_GB2312"/>
          <w:sz w:val="24"/>
          <w:szCs w:val="24"/>
          <w:highlight w:val="none"/>
        </w:rPr>
      </w:pPr>
    </w:p>
    <w:p w14:paraId="390C60D8">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投标单位名称</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14:paraId="24C49A29">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日</w:t>
      </w:r>
      <w:r>
        <w:rPr>
          <w:rFonts w:hint="eastAsia" w:ascii="仿宋_GB2312" w:hAnsi="仿宋_GB2312" w:eastAsia="仿宋_GB2312" w:cs="仿宋_GB2312"/>
          <w:sz w:val="28"/>
          <w:szCs w:val="28"/>
          <w:highlight w:val="none"/>
        </w:rPr>
        <w:t xml:space="preserve">           </w:t>
      </w:r>
    </w:p>
    <w:p w14:paraId="2A62DF48">
      <w:pPr>
        <w:widowControl/>
        <w:jc w:val="left"/>
        <w:rPr>
          <w:rFonts w:ascii="仿宋_GB2312" w:eastAsia="仿宋_GB2312"/>
          <w:sz w:val="28"/>
          <w:szCs w:val="28"/>
          <w:highlight w:val="none"/>
        </w:rPr>
        <w:sectPr>
          <w:footerReference r:id="rId4" w:type="default"/>
          <w:pgSz w:w="11906" w:h="16838"/>
          <w:pgMar w:top="2098" w:right="1474" w:bottom="1984" w:left="1587" w:header="851" w:footer="992" w:gutter="0"/>
          <w:pgNumType w:fmt="decimal"/>
          <w:cols w:space="425" w:num="1"/>
          <w:docGrid w:type="lines" w:linePitch="312" w:charSpace="0"/>
        </w:sectPr>
      </w:pPr>
    </w:p>
    <w:p w14:paraId="613101CF">
      <w:pPr>
        <w:spacing w:line="40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p>
    <w:p w14:paraId="561632AF">
      <w:pPr>
        <w:widowControl/>
        <w:autoSpaceDE w:val="0"/>
        <w:autoSpaceDN w:val="0"/>
        <w:adjustRightInd w:val="0"/>
        <w:spacing w:line="440" w:lineRule="exact"/>
        <w:jc w:val="both"/>
        <w:rPr>
          <w:rFonts w:hint="eastAsia" w:ascii="仿宋" w:hAnsi="仿宋" w:eastAsia="仿宋" w:cs="宋体"/>
          <w:b/>
          <w:bCs/>
          <w:color w:val="auto"/>
          <w:kern w:val="1"/>
          <w:sz w:val="28"/>
          <w:szCs w:val="28"/>
          <w:highlight w:val="none"/>
        </w:rPr>
      </w:pPr>
    </w:p>
    <w:p w14:paraId="796B1622">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55C4830B">
      <w:pPr>
        <w:jc w:val="center"/>
        <w:rPr>
          <w:rFonts w:ascii="仿宋" w:hAnsi="仿宋" w:eastAsia="仿宋" w:cs="仿宋"/>
          <w:sz w:val="44"/>
          <w:szCs w:val="44"/>
          <w:highlight w:val="none"/>
        </w:rPr>
      </w:pPr>
    </w:p>
    <w:p w14:paraId="6BD38FF3">
      <w:pPr>
        <w:adjustRightInd w:val="0"/>
        <w:snapToGrid w:val="0"/>
        <w:spacing w:line="360" w:lineRule="auto"/>
        <w:ind w:firstLine="480" w:firstLineChars="200"/>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我</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系</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公司法定代表人，现授权委托我公司的</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为我公司本次的授权代表，代表我方办理本次项目等相关事宜，签署全部有关的文件、协议、合同并具有法律效力。</w:t>
      </w:r>
    </w:p>
    <w:p w14:paraId="704C2D39">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在我方未发出撤销授权委托书的书面通知之前，本授权委托书一直有效。被授权人签署的所有文件（在授权书有效期内签署的）不因授权撤销而失效。</w:t>
      </w:r>
    </w:p>
    <w:p w14:paraId="5B737F84">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被授权人无权转让委托权。特此授权。</w:t>
      </w:r>
    </w:p>
    <w:p w14:paraId="3AFC3E9F">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本授权委托书于</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color w:val="000000"/>
          <w:sz w:val="24"/>
          <w:szCs w:val="24"/>
          <w:highlight w:val="none"/>
        </w:rPr>
        <w:t>年</w:t>
      </w:r>
      <w:r>
        <w:rPr>
          <w:rFonts w:hint="eastAsia" w:ascii="仿宋_GB2312" w:hAnsi="仿宋" w:eastAsia="仿宋_GB2312" w:cs="仿宋"/>
          <w:color w:val="000000"/>
          <w:sz w:val="24"/>
          <w:szCs w:val="24"/>
          <w:highlight w:val="none"/>
          <w:u w:val="single"/>
        </w:rPr>
        <w:t xml:space="preserve">   </w:t>
      </w:r>
      <w:r>
        <w:rPr>
          <w:rFonts w:hint="eastAsia" w:ascii="仿宋_GB2312" w:hAnsi="仿宋" w:eastAsia="仿宋_GB2312" w:cs="仿宋"/>
          <w:color w:val="000000"/>
          <w:sz w:val="24"/>
          <w:szCs w:val="24"/>
          <w:highlight w:val="none"/>
        </w:rPr>
        <w:t>月</w:t>
      </w:r>
      <w:r>
        <w:rPr>
          <w:rFonts w:hint="eastAsia" w:ascii="仿宋_GB2312" w:hAnsi="仿宋" w:eastAsia="仿宋_GB2312" w:cs="仿宋"/>
          <w:color w:val="000000"/>
          <w:sz w:val="24"/>
          <w:szCs w:val="24"/>
          <w:highlight w:val="none"/>
          <w:u w:val="single"/>
        </w:rPr>
        <w:t xml:space="preserve">   </w:t>
      </w:r>
      <w:r>
        <w:rPr>
          <w:rFonts w:hint="eastAsia" w:ascii="仿宋_GB2312" w:hAnsi="仿宋" w:eastAsia="仿宋_GB2312" w:cs="仿宋"/>
          <w:color w:val="000000"/>
          <w:sz w:val="24"/>
          <w:szCs w:val="24"/>
          <w:highlight w:val="none"/>
        </w:rPr>
        <w:t>日起</w:t>
      </w:r>
      <w:r>
        <w:rPr>
          <w:rFonts w:hint="eastAsia" w:ascii="仿宋_GB2312" w:hAnsi="仿宋" w:eastAsia="仿宋_GB2312" w:cs="仿宋"/>
          <w:sz w:val="24"/>
          <w:szCs w:val="24"/>
          <w:highlight w:val="none"/>
        </w:rPr>
        <w:t>签字生效，特此声明。</w:t>
      </w:r>
    </w:p>
    <w:p w14:paraId="6A05991A">
      <w:pPr>
        <w:spacing w:line="360" w:lineRule="auto"/>
        <w:ind w:firstLine="560"/>
        <w:jc w:val="center"/>
        <w:rPr>
          <w:rFonts w:ascii="仿宋_GB2312" w:hAnsi="仿宋" w:eastAsia="仿宋_GB2312" w:cs="仿宋"/>
          <w:sz w:val="24"/>
          <w:szCs w:val="24"/>
          <w:highlight w:val="none"/>
        </w:rPr>
      </w:pPr>
    </w:p>
    <w:p w14:paraId="56853258">
      <w:pPr>
        <w:spacing w:line="360" w:lineRule="auto"/>
        <w:ind w:firstLine="560"/>
        <w:jc w:val="center"/>
        <w:rPr>
          <w:rFonts w:ascii="仿宋_GB2312" w:eastAsia="仿宋_GB2312"/>
          <w:sz w:val="24"/>
          <w:szCs w:val="24"/>
          <w:highlight w:val="none"/>
        </w:rPr>
      </w:pPr>
      <w:r>
        <w:rPr>
          <w:rFonts w:hint="eastAsia" w:ascii="仿宋_GB2312" w:hAnsi="仿宋" w:eastAsia="仿宋_GB2312" w:cs="仿宋"/>
          <w:sz w:val="24"/>
          <w:szCs w:val="24"/>
          <w:highlight w:val="none"/>
        </w:rPr>
        <w:t>（附法人代表身份证以及授权代表身份证复印件）</w:t>
      </w:r>
    </w:p>
    <w:p w14:paraId="4CD7135F">
      <w:pPr>
        <w:spacing w:line="360" w:lineRule="auto"/>
        <w:rPr>
          <w:rFonts w:ascii="仿宋_GB2312" w:eastAsia="仿宋_GB2312"/>
          <w:sz w:val="24"/>
          <w:szCs w:val="24"/>
          <w:highlight w:val="none"/>
        </w:rPr>
      </w:pPr>
      <w:r>
        <w:rPr>
          <w:rFonts w:hint="eastAsia" w:ascii="仿宋_GB2312" w:eastAsia="仿宋_GB2312"/>
          <w:sz w:val="24"/>
          <w:szCs w:val="24"/>
          <w:highlight w:val="none"/>
        </w:rPr>
        <w:t xml:space="preserve"> </w:t>
      </w:r>
    </w:p>
    <w:p w14:paraId="17784F95">
      <w:pPr>
        <w:spacing w:line="360" w:lineRule="auto"/>
        <w:rPr>
          <w:rFonts w:ascii="仿宋_GB2312" w:eastAsia="仿宋_GB2312"/>
          <w:sz w:val="24"/>
          <w:szCs w:val="24"/>
          <w:highlight w:val="none"/>
        </w:rPr>
      </w:pPr>
    </w:p>
    <w:p w14:paraId="420BB67B">
      <w:pPr>
        <w:spacing w:line="360" w:lineRule="auto"/>
        <w:rPr>
          <w:rFonts w:ascii="仿宋_GB2312" w:eastAsia="仿宋_GB2312"/>
          <w:sz w:val="24"/>
          <w:szCs w:val="24"/>
          <w:highlight w:val="none"/>
        </w:rPr>
      </w:pPr>
    </w:p>
    <w:p w14:paraId="70C5CDFA">
      <w:pPr>
        <w:spacing w:line="360" w:lineRule="auto"/>
        <w:rPr>
          <w:rFonts w:ascii="仿宋_GB2312" w:eastAsia="仿宋_GB2312"/>
          <w:sz w:val="24"/>
          <w:szCs w:val="24"/>
          <w:highlight w:val="none"/>
        </w:rPr>
      </w:pPr>
    </w:p>
    <w:p w14:paraId="1BB2D415">
      <w:pPr>
        <w:spacing w:line="360" w:lineRule="auto"/>
        <w:ind w:firstLine="3686"/>
        <w:jc w:val="left"/>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lang w:val="en-US" w:eastAsia="zh-CN"/>
        </w:rPr>
        <w:t>投标单位</w:t>
      </w:r>
      <w:r>
        <w:rPr>
          <w:rFonts w:hint="eastAsia" w:ascii="仿宋_GB2312" w:hAnsi="仿宋" w:eastAsia="仿宋_GB2312" w:cs="仿宋"/>
          <w:sz w:val="24"/>
          <w:szCs w:val="24"/>
          <w:highlight w:val="none"/>
        </w:rPr>
        <w:t>名称（公章）：</w:t>
      </w:r>
      <w:r>
        <w:rPr>
          <w:rFonts w:hint="eastAsia" w:ascii="仿宋_GB2312" w:hAnsi="仿宋" w:eastAsia="仿宋_GB2312" w:cs="仿宋"/>
          <w:sz w:val="24"/>
          <w:szCs w:val="24"/>
          <w:highlight w:val="none"/>
          <w:u w:val="single"/>
        </w:rPr>
        <w:t xml:space="preserve">             </w:t>
      </w:r>
    </w:p>
    <w:p w14:paraId="3D80A26D">
      <w:pPr>
        <w:spacing w:line="360" w:lineRule="auto"/>
        <w:ind w:firstLine="3686"/>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法定代表人签字：</w:t>
      </w:r>
      <w:r>
        <w:rPr>
          <w:rFonts w:hint="eastAsia" w:ascii="仿宋_GB2312" w:hAnsi="仿宋" w:eastAsia="仿宋_GB2312" w:cs="仿宋"/>
          <w:sz w:val="24"/>
          <w:szCs w:val="24"/>
          <w:highlight w:val="none"/>
          <w:u w:val="single"/>
        </w:rPr>
        <w:t xml:space="preserve">                  </w:t>
      </w:r>
    </w:p>
    <w:p w14:paraId="2F1B0B03">
      <w:pPr>
        <w:widowControl/>
        <w:jc w:val="left"/>
        <w:rPr>
          <w:rFonts w:ascii="方正小标宋_GBK" w:hAnsi="Times New Roman" w:eastAsia="方正小标宋_GBK" w:cs="宋体"/>
          <w:sz w:val="24"/>
          <w:szCs w:val="24"/>
          <w:highlight w:val="none"/>
        </w:rPr>
      </w:pPr>
      <w:r>
        <w:rPr>
          <w:rFonts w:hint="eastAsia" w:ascii="仿宋_GB2312" w:hAnsi="仿宋" w:eastAsia="仿宋_GB2312" w:cs="仿宋"/>
          <w:sz w:val="24"/>
          <w:szCs w:val="24"/>
          <w:highlight w:val="none"/>
        </w:rPr>
        <w:t xml:space="preserve">                                          日期：  年  月  日</w:t>
      </w:r>
    </w:p>
    <w:p w14:paraId="7419A652">
      <w:pPr>
        <w:pStyle w:val="5"/>
        <w:rPr>
          <w:rFonts w:hint="eastAsia"/>
          <w:color w:val="auto"/>
          <w:highlight w:val="none"/>
        </w:rPr>
        <w:sectPr>
          <w:pgSz w:w="11906" w:h="16838"/>
          <w:pgMar w:top="1440" w:right="1474" w:bottom="1440" w:left="1474" w:header="851" w:footer="992" w:gutter="0"/>
          <w:pgNumType w:fmt="decimal"/>
          <w:cols w:space="425" w:num="1"/>
          <w:docGrid w:type="lines" w:linePitch="312" w:charSpace="0"/>
        </w:sectPr>
      </w:pPr>
    </w:p>
    <w:p w14:paraId="235A8AD7">
      <w:pPr>
        <w:pStyle w:val="2"/>
        <w:ind w:left="0" w:leftChars="0" w:firstLine="0" w:firstLineChars="0"/>
        <w:rPr>
          <w:rFonts w:hint="eastAsia" w:eastAsiaTheme="minorEastAsia"/>
          <w:highlight w:val="none"/>
          <w:lang w:eastAsia="zh-CN"/>
        </w:rPr>
      </w:pPr>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0B48">
    <w:pPr>
      <w:pStyle w:val="5"/>
      <w:tabs>
        <w:tab w:val="left" w:pos="367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B9B67">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DB9B67">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BC7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AF1A0">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1AF1A0">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C1A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6E83">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56E83">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A48AF"/>
    <w:rsid w:val="004E3EEB"/>
    <w:rsid w:val="00D7655E"/>
    <w:rsid w:val="01C2563F"/>
    <w:rsid w:val="076C781B"/>
    <w:rsid w:val="085333A0"/>
    <w:rsid w:val="0A6F6FB2"/>
    <w:rsid w:val="0BEA2263"/>
    <w:rsid w:val="101604FC"/>
    <w:rsid w:val="1079340D"/>
    <w:rsid w:val="112A78B5"/>
    <w:rsid w:val="13044C31"/>
    <w:rsid w:val="143C1839"/>
    <w:rsid w:val="15DA5621"/>
    <w:rsid w:val="19726F19"/>
    <w:rsid w:val="1E254BAE"/>
    <w:rsid w:val="26567CCB"/>
    <w:rsid w:val="26A439B6"/>
    <w:rsid w:val="27D864DB"/>
    <w:rsid w:val="2A9B6754"/>
    <w:rsid w:val="2A9C7E6E"/>
    <w:rsid w:val="2CD34766"/>
    <w:rsid w:val="2D3E2FEA"/>
    <w:rsid w:val="2D5336C6"/>
    <w:rsid w:val="2E8B37D6"/>
    <w:rsid w:val="3431454D"/>
    <w:rsid w:val="36DE0CC8"/>
    <w:rsid w:val="39C07C0B"/>
    <w:rsid w:val="3B296AAD"/>
    <w:rsid w:val="4058120B"/>
    <w:rsid w:val="40A764EC"/>
    <w:rsid w:val="411E2196"/>
    <w:rsid w:val="431D0751"/>
    <w:rsid w:val="48E92316"/>
    <w:rsid w:val="49C00FB6"/>
    <w:rsid w:val="4AC90DC8"/>
    <w:rsid w:val="4B0A48AF"/>
    <w:rsid w:val="4EEF6382"/>
    <w:rsid w:val="544A2793"/>
    <w:rsid w:val="59FA16AA"/>
    <w:rsid w:val="5A144084"/>
    <w:rsid w:val="5E1E2A2D"/>
    <w:rsid w:val="5F5E64EF"/>
    <w:rsid w:val="62AD4827"/>
    <w:rsid w:val="680753E2"/>
    <w:rsid w:val="6C065595"/>
    <w:rsid w:val="72881DC8"/>
    <w:rsid w:val="77AB4063"/>
    <w:rsid w:val="7A582349"/>
    <w:rsid w:val="7A74161D"/>
    <w:rsid w:val="7A771282"/>
    <w:rsid w:val="7B410590"/>
    <w:rsid w:val="7BBB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lang w:val="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character" w:styleId="9">
    <w:name w:val="Hyperlink"/>
    <w:basedOn w:val="8"/>
    <w:qFormat/>
    <w:uiPriority w:val="0"/>
    <w:rPr>
      <w:color w:val="0000FF"/>
      <w:u w:val="single"/>
    </w:rPr>
  </w:style>
  <w:style w:type="character" w:customStyle="1" w:styleId="10">
    <w:name w:val="楷体 (中文) 楷体"/>
    <w:qFormat/>
    <w:uiPriority w:val="0"/>
    <w:rPr>
      <w:rFonts w:ascii="楷体" w:hAnsi="楷体" w:eastAsia="楷体"/>
      <w:kern w:val="1"/>
      <w:sz w:val="2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2499</Words>
  <Characters>2711</Characters>
  <Lines>0</Lines>
  <Paragraphs>0</Paragraphs>
  <TotalTime>1</TotalTime>
  <ScaleCrop>false</ScaleCrop>
  <LinksUpToDate>false</LinksUpToDate>
  <CharactersWithSpaces>3261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2025-02-11T08:29:00Z</dcterms:created>
  <dc:creator>冰岛</dc:creator>
  <cp:lastModifiedBy>Administrator</cp:lastModifiedBy>
  <dcterms:modified xsi:type="dcterms:W3CDTF">2025-02-27T00:23:16Z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688F09724F3445889F9180ADEE07ADC4_13</vt:lpwstr>
  </property>
  <property fmtid="{D5CDD505-2E9C-101B-9397-08002B2CF9AE}" pid="4" name="KSOTemplateDocerSaveRecord">
    <vt:lpwstr>eyJoZGlkIjoiMWYxYTdhZTcyYjMyZTdhYzVkYzFmZDE0YjY3NWZjODEifQ==</vt:lpwstr>
  </property>
</Properties>
</file>