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45236">
      <w:pPr>
        <w:pStyle w:val="2"/>
        <w:jc w:val="center"/>
        <w:rPr>
          <w:rFonts w:ascii="黑体" w:hAnsi="黑体" w:eastAsia="黑体"/>
          <w:sz w:val="32"/>
          <w:szCs w:val="32"/>
          <w:highlight w:val="none"/>
        </w:rPr>
      </w:pPr>
      <w:bookmarkStart w:id="0" w:name="_Toc134452747"/>
      <w:bookmarkStart w:id="1" w:name="_Toc10989"/>
      <w:bookmarkStart w:id="2" w:name="_Toc24310"/>
      <w:r>
        <w:rPr>
          <w:rFonts w:hint="eastAsia" w:ascii="黑体" w:hAnsi="黑体" w:eastAsia="黑体"/>
          <w:sz w:val="32"/>
          <w:szCs w:val="32"/>
          <w:highlight w:val="none"/>
        </w:rPr>
        <w:t>采购公告</w:t>
      </w:r>
      <w:bookmarkEnd w:id="0"/>
      <w:bookmarkEnd w:id="1"/>
      <w:bookmarkEnd w:id="2"/>
    </w:p>
    <w:p w14:paraId="7C62A5C1">
      <w:pPr>
        <w:pStyle w:val="16"/>
        <w:pageBreakBefore w:val="0"/>
        <w:kinsoku/>
        <w:wordWrap/>
        <w:overflowPunct/>
        <w:topLinePunct w:val="0"/>
        <w:autoSpaceDE/>
        <w:autoSpaceDN/>
        <w:bidi w:val="0"/>
        <w:adjustRightInd/>
        <w:snapToGrid/>
        <w:spacing w:line="560" w:lineRule="exact"/>
        <w:ind w:right="-368" w:rightChars="-175"/>
        <w:textAlignment w:val="auto"/>
        <w:rPr>
          <w:bCs/>
          <w:kern w:val="2"/>
          <w:sz w:val="32"/>
          <w:szCs w:val="32"/>
          <w:highlight w:val="none"/>
        </w:rPr>
      </w:pPr>
      <w:r>
        <w:rPr>
          <w:rFonts w:hint="eastAsia"/>
          <w:highlight w:val="none"/>
        </w:rPr>
        <w:t xml:space="preserve">  </w:t>
      </w:r>
      <w:r>
        <w:rPr>
          <w:rFonts w:hint="eastAsia"/>
          <w:bCs/>
          <w:kern w:val="2"/>
          <w:sz w:val="32"/>
          <w:szCs w:val="32"/>
          <w:highlight w:val="none"/>
        </w:rPr>
        <w:t>我公司现对高新区5号能源站一期变配电室工程</w:t>
      </w:r>
      <w:r>
        <w:rPr>
          <w:rFonts w:hint="eastAsia"/>
          <w:bCs/>
          <w:kern w:val="2"/>
          <w:sz w:val="32"/>
          <w:szCs w:val="32"/>
          <w:highlight w:val="none"/>
          <w:lang w:eastAsia="zh-CN"/>
        </w:rPr>
        <w:t>所需的</w:t>
      </w:r>
      <w:r>
        <w:rPr>
          <w:rFonts w:hint="eastAsia"/>
          <w:bCs/>
          <w:kern w:val="2"/>
          <w:sz w:val="32"/>
          <w:szCs w:val="32"/>
          <w:highlight w:val="none"/>
        </w:rPr>
        <w:t>高低压设备及主材进行采购，欢迎符合条件的供应商参加，具体要求如下：</w:t>
      </w:r>
    </w:p>
    <w:p w14:paraId="5763F105">
      <w:pPr>
        <w:pStyle w:val="1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bCs/>
          <w:kern w:val="2"/>
          <w:sz w:val="32"/>
          <w:szCs w:val="32"/>
          <w:highlight w:val="none"/>
        </w:rPr>
      </w:pPr>
      <w:r>
        <w:rPr>
          <w:rFonts w:hint="eastAsia"/>
          <w:bCs/>
          <w:kern w:val="2"/>
          <w:sz w:val="32"/>
          <w:szCs w:val="32"/>
          <w:highlight w:val="none"/>
          <w:lang w:val="en-US" w:eastAsia="zh-CN"/>
        </w:rPr>
        <w:t>1.</w:t>
      </w:r>
      <w:r>
        <w:rPr>
          <w:rFonts w:hint="eastAsia"/>
          <w:bCs/>
          <w:kern w:val="2"/>
          <w:sz w:val="32"/>
          <w:szCs w:val="32"/>
          <w:highlight w:val="none"/>
        </w:rPr>
        <w:t>项目名称：高新区5号能源站一期变配电室工程高低压设备及主材采购</w:t>
      </w:r>
    </w:p>
    <w:p w14:paraId="69A2D87E">
      <w:pPr>
        <w:pStyle w:val="1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bCs/>
          <w:kern w:val="2"/>
          <w:sz w:val="32"/>
          <w:szCs w:val="32"/>
          <w:highlight w:val="none"/>
        </w:rPr>
      </w:pPr>
      <w:r>
        <w:rPr>
          <w:rFonts w:hint="eastAsia"/>
          <w:bCs/>
          <w:kern w:val="2"/>
          <w:sz w:val="32"/>
          <w:szCs w:val="32"/>
          <w:highlight w:val="none"/>
        </w:rPr>
        <w:t>2.项目地点：采购人指定地点。</w:t>
      </w:r>
    </w:p>
    <w:p w14:paraId="5FC3B329">
      <w:pPr>
        <w:pStyle w:val="16"/>
        <w:keepNext w:val="0"/>
        <w:keepLines w:val="0"/>
        <w:pageBreakBefore w:val="0"/>
        <w:kinsoku/>
        <w:wordWrap/>
        <w:overflowPunct/>
        <w:topLinePunct w:val="0"/>
        <w:autoSpaceDE/>
        <w:autoSpaceDN/>
        <w:bidi w:val="0"/>
        <w:adjustRightInd/>
        <w:snapToGrid/>
        <w:spacing w:line="560" w:lineRule="exact"/>
        <w:textAlignment w:val="auto"/>
        <w:rPr>
          <w:rFonts w:hint="eastAsia" w:eastAsia="仿宋"/>
          <w:bCs/>
          <w:kern w:val="2"/>
          <w:sz w:val="32"/>
          <w:szCs w:val="32"/>
          <w:highlight w:val="none"/>
          <w:lang w:eastAsia="zh-CN"/>
        </w:rPr>
      </w:pPr>
      <w:r>
        <w:rPr>
          <w:rFonts w:hint="eastAsia"/>
          <w:bCs/>
          <w:kern w:val="2"/>
          <w:sz w:val="32"/>
          <w:szCs w:val="32"/>
          <w:highlight w:val="none"/>
        </w:rPr>
        <w:t xml:space="preserve">    3.采购内容：高低压设备及主材</w:t>
      </w:r>
      <w:r>
        <w:rPr>
          <w:rFonts w:hint="eastAsia"/>
          <w:bCs/>
          <w:kern w:val="2"/>
          <w:sz w:val="32"/>
          <w:szCs w:val="32"/>
          <w:highlight w:val="none"/>
          <w:lang w:eastAsia="zh-CN"/>
        </w:rPr>
        <w:t>，详见采购清单。</w:t>
      </w:r>
    </w:p>
    <w:p w14:paraId="0A5E7FF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ascii="仿宋" w:hAnsi="仿宋" w:eastAsia="仿宋" w:cs="Times New Roman"/>
          <w:bCs/>
          <w:kern w:val="2"/>
          <w:sz w:val="32"/>
          <w:szCs w:val="32"/>
          <w:highlight w:val="none"/>
        </w:rPr>
      </w:pPr>
      <w:r>
        <w:rPr>
          <w:rFonts w:hint="eastAsia" w:ascii="仿宋" w:hAnsi="仿宋" w:eastAsia="仿宋" w:cs="Times New Roman"/>
          <w:bCs/>
          <w:kern w:val="2"/>
          <w:sz w:val="32"/>
          <w:szCs w:val="32"/>
          <w:highlight w:val="none"/>
        </w:rPr>
        <w:t xml:space="preserve">    4.采购控制价（含税价，增值税税率为13%）：2353077.24元。</w:t>
      </w:r>
    </w:p>
    <w:p w14:paraId="6CA7DD43">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5.供应商资格要求</w:t>
      </w:r>
    </w:p>
    <w:p w14:paraId="6F32181F">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5.1供应商必须具有独立法人资格,各供应商不得有企业关联或股权关系。</w:t>
      </w:r>
    </w:p>
    <w:p w14:paraId="56196A05">
      <w:pPr>
        <w:pStyle w:val="16"/>
        <w:pageBreakBefore w:val="0"/>
        <w:kinsoku/>
        <w:wordWrap/>
        <w:overflowPunct/>
        <w:topLinePunct w:val="0"/>
        <w:autoSpaceDE/>
        <w:autoSpaceDN/>
        <w:bidi w:val="0"/>
        <w:adjustRightInd/>
        <w:snapToGrid/>
        <w:spacing w:line="560" w:lineRule="exact"/>
        <w:ind w:firstLine="640"/>
        <w:textAlignment w:val="auto"/>
        <w:rPr>
          <w:rFonts w:hint="eastAsia"/>
          <w:bCs/>
          <w:kern w:val="2"/>
          <w:sz w:val="32"/>
          <w:szCs w:val="32"/>
          <w:highlight w:val="none"/>
        </w:rPr>
      </w:pPr>
      <w:r>
        <w:rPr>
          <w:rFonts w:hint="eastAsia"/>
          <w:bCs/>
          <w:kern w:val="2"/>
          <w:sz w:val="32"/>
          <w:szCs w:val="32"/>
          <w:highlight w:val="none"/>
        </w:rPr>
        <w:t>5.2供应商必须具备相关营业资格,所提供的产品必须符合国家、行业标准相关要求，相关主材必须具备国家认可的型式试验报告，并在人员、设备、技术、资金等方面具备相应的能力。</w:t>
      </w:r>
    </w:p>
    <w:p w14:paraId="762F4E67">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5.</w:t>
      </w:r>
      <w:r>
        <w:rPr>
          <w:rFonts w:hint="eastAsia"/>
          <w:bCs/>
          <w:kern w:val="2"/>
          <w:sz w:val="32"/>
          <w:szCs w:val="32"/>
          <w:highlight w:val="none"/>
          <w:lang w:val="en-US" w:eastAsia="zh-CN"/>
        </w:rPr>
        <w:t>3</w:t>
      </w:r>
      <w:r>
        <w:rPr>
          <w:rFonts w:hint="eastAsia"/>
          <w:bCs/>
          <w:kern w:val="2"/>
          <w:sz w:val="32"/>
          <w:szCs w:val="32"/>
          <w:highlight w:val="none"/>
        </w:rPr>
        <w:t>采购公告发布之日前三年内无行贿犯罪等重大违法记录。</w:t>
      </w:r>
    </w:p>
    <w:p w14:paraId="2A126653">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bookmarkStart w:id="3" w:name="_Toc521332562"/>
      <w:r>
        <w:rPr>
          <w:rFonts w:hint="eastAsia"/>
          <w:bCs/>
          <w:kern w:val="2"/>
          <w:sz w:val="32"/>
          <w:szCs w:val="32"/>
          <w:highlight w:val="none"/>
        </w:rPr>
        <w:t xml:space="preserve">    5.</w:t>
      </w:r>
      <w:r>
        <w:rPr>
          <w:rFonts w:hint="eastAsia"/>
          <w:bCs/>
          <w:kern w:val="2"/>
          <w:sz w:val="32"/>
          <w:szCs w:val="32"/>
          <w:highlight w:val="none"/>
          <w:lang w:val="en-US" w:eastAsia="zh-CN"/>
        </w:rPr>
        <w:t>4</w:t>
      </w:r>
      <w:r>
        <w:rPr>
          <w:rFonts w:hint="eastAsia"/>
          <w:bCs/>
          <w:kern w:val="2"/>
          <w:sz w:val="32"/>
          <w:szCs w:val="32"/>
          <w:highlight w:val="none"/>
        </w:rPr>
        <w:t>通过“信用中国”网站（www.creditchina.gov.cn）、中国政府采购网（www.ccgp.gov.cn）查询，未被列入失信被执行人、重大税收违法案件当事人、政府采购严重违法失信行为记录名单。</w:t>
      </w:r>
    </w:p>
    <w:bookmarkEnd w:id="3"/>
    <w:p w14:paraId="3860D816">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6.资格预审及采购文件的获取</w:t>
      </w:r>
    </w:p>
    <w:p w14:paraId="68AA232C">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6.1截止时间：</w:t>
      </w:r>
      <w:r>
        <w:rPr>
          <w:bCs/>
          <w:kern w:val="2"/>
          <w:sz w:val="32"/>
          <w:szCs w:val="32"/>
          <w:highlight w:val="none"/>
        </w:rPr>
        <w:t>202</w:t>
      </w:r>
      <w:r>
        <w:rPr>
          <w:rFonts w:hint="eastAsia"/>
          <w:bCs/>
          <w:kern w:val="2"/>
          <w:sz w:val="32"/>
          <w:szCs w:val="32"/>
          <w:highlight w:val="none"/>
        </w:rPr>
        <w:t>5</w:t>
      </w:r>
      <w:r>
        <w:rPr>
          <w:bCs/>
          <w:kern w:val="2"/>
          <w:sz w:val="32"/>
          <w:szCs w:val="32"/>
          <w:highlight w:val="none"/>
        </w:rPr>
        <w:t>年</w:t>
      </w:r>
      <w:r>
        <w:rPr>
          <w:rFonts w:hint="eastAsia"/>
          <w:bCs/>
          <w:kern w:val="2"/>
          <w:sz w:val="32"/>
          <w:szCs w:val="32"/>
          <w:highlight w:val="none"/>
        </w:rPr>
        <w:t xml:space="preserve"> </w:t>
      </w:r>
      <w:r>
        <w:rPr>
          <w:rFonts w:hint="eastAsia"/>
          <w:bCs/>
          <w:kern w:val="2"/>
          <w:sz w:val="32"/>
          <w:szCs w:val="32"/>
          <w:highlight w:val="none"/>
          <w:lang w:val="en-US" w:eastAsia="zh-CN"/>
        </w:rPr>
        <w:t>5</w:t>
      </w:r>
      <w:r>
        <w:rPr>
          <w:bCs/>
          <w:kern w:val="2"/>
          <w:sz w:val="32"/>
          <w:szCs w:val="32"/>
          <w:highlight w:val="none"/>
        </w:rPr>
        <w:t>月</w:t>
      </w:r>
      <w:r>
        <w:rPr>
          <w:rFonts w:hint="eastAsia"/>
          <w:bCs/>
          <w:kern w:val="2"/>
          <w:sz w:val="32"/>
          <w:szCs w:val="32"/>
          <w:highlight w:val="none"/>
          <w:lang w:val="en-US" w:eastAsia="zh-CN"/>
        </w:rPr>
        <w:t>19</w:t>
      </w:r>
      <w:r>
        <w:rPr>
          <w:bCs/>
          <w:kern w:val="2"/>
          <w:sz w:val="32"/>
          <w:szCs w:val="32"/>
          <w:highlight w:val="none"/>
        </w:rPr>
        <w:t>日</w:t>
      </w:r>
      <w:r>
        <w:rPr>
          <w:rFonts w:hint="eastAsia"/>
          <w:bCs/>
          <w:kern w:val="2"/>
          <w:sz w:val="32"/>
          <w:szCs w:val="32"/>
          <w:highlight w:val="none"/>
          <w:lang w:val="en-US" w:eastAsia="zh-CN"/>
        </w:rPr>
        <w:t>12</w:t>
      </w:r>
      <w:r>
        <w:rPr>
          <w:bCs/>
          <w:kern w:val="2"/>
          <w:sz w:val="32"/>
          <w:szCs w:val="32"/>
          <w:highlight w:val="none"/>
        </w:rPr>
        <w:t>时00分</w:t>
      </w:r>
      <w:r>
        <w:rPr>
          <w:rFonts w:hint="eastAsia"/>
          <w:bCs/>
          <w:kern w:val="2"/>
          <w:sz w:val="32"/>
          <w:szCs w:val="32"/>
          <w:highlight w:val="none"/>
        </w:rPr>
        <w:t>。</w:t>
      </w:r>
    </w:p>
    <w:p w14:paraId="7CB1AD57">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6.2预审方式：供应商将资格审查所需材料生成一个</w:t>
      </w:r>
      <w:r>
        <w:rPr>
          <w:rFonts w:hint="eastAsia"/>
          <w:b/>
          <w:bCs w:val="0"/>
          <w:kern w:val="2"/>
          <w:sz w:val="32"/>
          <w:szCs w:val="32"/>
          <w:highlight w:val="none"/>
        </w:rPr>
        <w:t>PDF</w:t>
      </w:r>
      <w:r>
        <w:rPr>
          <w:rFonts w:hint="eastAsia"/>
          <w:bCs/>
          <w:kern w:val="2"/>
          <w:sz w:val="32"/>
          <w:szCs w:val="32"/>
          <w:highlight w:val="none"/>
        </w:rPr>
        <w:t>文档，在截止时间前发送至邮箱：gaoxinshuidian@163.com。邮件标题为</w:t>
      </w:r>
      <w:r>
        <w:rPr>
          <w:rFonts w:hint="eastAsia"/>
          <w:b/>
          <w:bCs w:val="0"/>
          <w:kern w:val="2"/>
          <w:sz w:val="32"/>
          <w:szCs w:val="32"/>
          <w:highlight w:val="none"/>
        </w:rPr>
        <w:t>供应商名称+项目名称</w:t>
      </w:r>
      <w:r>
        <w:rPr>
          <w:rFonts w:hint="eastAsia"/>
          <w:bCs/>
          <w:kern w:val="2"/>
          <w:sz w:val="32"/>
          <w:szCs w:val="32"/>
          <w:highlight w:val="none"/>
        </w:rPr>
        <w:t>，正文备注</w:t>
      </w:r>
      <w:r>
        <w:rPr>
          <w:rFonts w:hint="eastAsia"/>
          <w:b/>
          <w:bCs w:val="0"/>
          <w:kern w:val="2"/>
          <w:sz w:val="32"/>
          <w:szCs w:val="32"/>
          <w:highlight w:val="none"/>
        </w:rPr>
        <w:t>联系人、联系方式、采购文件接收邮箱地址</w:t>
      </w:r>
      <w:r>
        <w:rPr>
          <w:rFonts w:hint="eastAsia"/>
          <w:bCs/>
          <w:kern w:val="2"/>
          <w:sz w:val="32"/>
          <w:szCs w:val="32"/>
          <w:highlight w:val="none"/>
        </w:rPr>
        <w:t>。由采购人受理后，通过邮箱向审查合格的供应商发放采购文件。</w:t>
      </w:r>
    </w:p>
    <w:p w14:paraId="4579CB70">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6.3资格审查材料：营业执照复印件；法定代表人身份证明；法定代表人授权委托书；中国裁判文书网（http://wenshu.court.gov.cn)分别查询供应商、法定代表人无行贿犯罪记录查询网页截图；“信用中国”网站、中国政府采购网查询网页截图、型式试验报告等材料，以上材料均需加盖供应商公章。</w:t>
      </w:r>
    </w:p>
    <w:p w14:paraId="56984F52">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7.响应文件递交时间以及地点</w:t>
      </w:r>
    </w:p>
    <w:p w14:paraId="38CE9805">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7.1时间：</w:t>
      </w:r>
      <w:r>
        <w:rPr>
          <w:bCs/>
          <w:kern w:val="2"/>
          <w:sz w:val="32"/>
          <w:szCs w:val="32"/>
          <w:highlight w:val="none"/>
        </w:rPr>
        <w:t>20</w:t>
      </w:r>
      <w:r>
        <w:rPr>
          <w:rFonts w:hint="eastAsia"/>
          <w:bCs/>
          <w:kern w:val="2"/>
          <w:sz w:val="32"/>
          <w:szCs w:val="32"/>
          <w:highlight w:val="none"/>
        </w:rPr>
        <w:t>25</w:t>
      </w:r>
      <w:r>
        <w:rPr>
          <w:bCs/>
          <w:kern w:val="2"/>
          <w:sz w:val="32"/>
          <w:szCs w:val="32"/>
          <w:highlight w:val="none"/>
        </w:rPr>
        <w:t>年</w:t>
      </w:r>
      <w:r>
        <w:rPr>
          <w:rFonts w:hint="eastAsia"/>
          <w:bCs/>
          <w:kern w:val="2"/>
          <w:sz w:val="32"/>
          <w:szCs w:val="32"/>
          <w:highlight w:val="none"/>
          <w:lang w:val="en-US" w:eastAsia="zh-CN"/>
        </w:rPr>
        <w:t>5</w:t>
      </w:r>
      <w:r>
        <w:rPr>
          <w:bCs/>
          <w:kern w:val="2"/>
          <w:sz w:val="32"/>
          <w:szCs w:val="32"/>
          <w:highlight w:val="none"/>
        </w:rPr>
        <w:t>月</w:t>
      </w:r>
      <w:r>
        <w:rPr>
          <w:rFonts w:hint="eastAsia"/>
          <w:bCs/>
          <w:kern w:val="2"/>
          <w:sz w:val="32"/>
          <w:szCs w:val="32"/>
          <w:highlight w:val="none"/>
          <w:lang w:val="en-US" w:eastAsia="zh-CN"/>
        </w:rPr>
        <w:t>23</w:t>
      </w:r>
      <w:r>
        <w:rPr>
          <w:bCs/>
          <w:kern w:val="2"/>
          <w:sz w:val="32"/>
          <w:szCs w:val="32"/>
          <w:highlight w:val="none"/>
        </w:rPr>
        <w:t>日</w:t>
      </w:r>
      <w:r>
        <w:rPr>
          <w:rFonts w:hint="eastAsia"/>
          <w:bCs/>
          <w:kern w:val="2"/>
          <w:sz w:val="32"/>
          <w:szCs w:val="32"/>
          <w:highlight w:val="none"/>
        </w:rPr>
        <w:t>9</w:t>
      </w:r>
      <w:r>
        <w:rPr>
          <w:bCs/>
          <w:kern w:val="2"/>
          <w:sz w:val="32"/>
          <w:szCs w:val="32"/>
          <w:highlight w:val="none"/>
        </w:rPr>
        <w:t>时</w:t>
      </w:r>
      <w:r>
        <w:rPr>
          <w:rFonts w:hint="eastAsia"/>
          <w:bCs/>
          <w:kern w:val="2"/>
          <w:sz w:val="32"/>
          <w:szCs w:val="32"/>
          <w:highlight w:val="none"/>
        </w:rPr>
        <w:t>0</w:t>
      </w:r>
      <w:r>
        <w:rPr>
          <w:bCs/>
          <w:kern w:val="2"/>
          <w:sz w:val="32"/>
          <w:szCs w:val="32"/>
          <w:highlight w:val="none"/>
        </w:rPr>
        <w:t>0分至</w:t>
      </w:r>
      <w:r>
        <w:rPr>
          <w:rFonts w:hint="eastAsia"/>
          <w:bCs/>
          <w:kern w:val="2"/>
          <w:sz w:val="32"/>
          <w:szCs w:val="32"/>
          <w:highlight w:val="none"/>
        </w:rPr>
        <w:t>9</w:t>
      </w:r>
      <w:r>
        <w:rPr>
          <w:bCs/>
          <w:kern w:val="2"/>
          <w:sz w:val="32"/>
          <w:szCs w:val="32"/>
          <w:highlight w:val="none"/>
        </w:rPr>
        <w:t>时</w:t>
      </w:r>
      <w:r>
        <w:rPr>
          <w:rFonts w:hint="eastAsia"/>
          <w:bCs/>
          <w:kern w:val="2"/>
          <w:sz w:val="32"/>
          <w:szCs w:val="32"/>
          <w:highlight w:val="none"/>
        </w:rPr>
        <w:t>30</w:t>
      </w:r>
      <w:r>
        <w:rPr>
          <w:bCs/>
          <w:kern w:val="2"/>
          <w:sz w:val="32"/>
          <w:szCs w:val="32"/>
          <w:highlight w:val="none"/>
        </w:rPr>
        <w:t>分。</w:t>
      </w:r>
    </w:p>
    <w:p w14:paraId="7C5191F0">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7.2地点：青岛市高新区聚贤桥路50号高实集团8楼801会议室。</w:t>
      </w:r>
    </w:p>
    <w:p w14:paraId="2AE63E4D">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8.磋商时间以及地点</w:t>
      </w:r>
    </w:p>
    <w:p w14:paraId="2FAC850B">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8.1时间：</w:t>
      </w:r>
      <w:r>
        <w:rPr>
          <w:bCs/>
          <w:kern w:val="2"/>
          <w:sz w:val="32"/>
          <w:szCs w:val="32"/>
          <w:highlight w:val="none"/>
        </w:rPr>
        <w:t>202</w:t>
      </w:r>
      <w:r>
        <w:rPr>
          <w:rFonts w:hint="eastAsia"/>
          <w:bCs/>
          <w:kern w:val="2"/>
          <w:sz w:val="32"/>
          <w:szCs w:val="32"/>
          <w:highlight w:val="none"/>
        </w:rPr>
        <w:t>5</w:t>
      </w:r>
      <w:r>
        <w:rPr>
          <w:bCs/>
          <w:kern w:val="2"/>
          <w:sz w:val="32"/>
          <w:szCs w:val="32"/>
          <w:highlight w:val="none"/>
        </w:rPr>
        <w:t>年</w:t>
      </w:r>
      <w:r>
        <w:rPr>
          <w:rFonts w:hint="eastAsia"/>
          <w:bCs/>
          <w:kern w:val="2"/>
          <w:sz w:val="32"/>
          <w:szCs w:val="32"/>
          <w:highlight w:val="none"/>
          <w:lang w:val="en-US" w:eastAsia="zh-CN"/>
        </w:rPr>
        <w:t>5</w:t>
      </w:r>
      <w:r>
        <w:rPr>
          <w:bCs/>
          <w:kern w:val="2"/>
          <w:sz w:val="32"/>
          <w:szCs w:val="32"/>
          <w:highlight w:val="none"/>
        </w:rPr>
        <w:t>月</w:t>
      </w:r>
      <w:r>
        <w:rPr>
          <w:rFonts w:hint="eastAsia"/>
          <w:bCs/>
          <w:kern w:val="2"/>
          <w:sz w:val="32"/>
          <w:szCs w:val="32"/>
          <w:highlight w:val="none"/>
          <w:lang w:val="en-US" w:eastAsia="zh-CN"/>
        </w:rPr>
        <w:t>23</w:t>
      </w:r>
      <w:r>
        <w:rPr>
          <w:bCs/>
          <w:kern w:val="2"/>
          <w:sz w:val="32"/>
          <w:szCs w:val="32"/>
          <w:highlight w:val="none"/>
        </w:rPr>
        <w:t>日</w:t>
      </w:r>
      <w:r>
        <w:rPr>
          <w:rFonts w:hint="eastAsia"/>
          <w:bCs/>
          <w:kern w:val="2"/>
          <w:sz w:val="32"/>
          <w:szCs w:val="32"/>
          <w:highlight w:val="none"/>
        </w:rPr>
        <w:t>9</w:t>
      </w:r>
      <w:r>
        <w:rPr>
          <w:bCs/>
          <w:kern w:val="2"/>
          <w:sz w:val="32"/>
          <w:szCs w:val="32"/>
          <w:highlight w:val="none"/>
        </w:rPr>
        <w:t>时</w:t>
      </w:r>
      <w:r>
        <w:rPr>
          <w:rFonts w:hint="eastAsia"/>
          <w:bCs/>
          <w:kern w:val="2"/>
          <w:sz w:val="32"/>
          <w:szCs w:val="32"/>
          <w:highlight w:val="none"/>
        </w:rPr>
        <w:t>3</w:t>
      </w:r>
      <w:r>
        <w:rPr>
          <w:bCs/>
          <w:kern w:val="2"/>
          <w:sz w:val="32"/>
          <w:szCs w:val="32"/>
          <w:highlight w:val="none"/>
        </w:rPr>
        <w:t>0分。</w:t>
      </w:r>
    </w:p>
    <w:p w14:paraId="6BF06482">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8.2地点：青岛市高新区聚贤桥路50号高实集团8楼801会议室。</w:t>
      </w:r>
    </w:p>
    <w:p w14:paraId="05B9D53B">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9.联系方式</w:t>
      </w:r>
    </w:p>
    <w:p w14:paraId="188F6B54">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9.1采购人：青岛高新电力发展有限公司</w:t>
      </w:r>
    </w:p>
    <w:p w14:paraId="616FE151">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联 系 人：纪虹延</w:t>
      </w:r>
    </w:p>
    <w:p w14:paraId="32728BEE">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电    话：0532-68687097</w:t>
      </w:r>
    </w:p>
    <w:p w14:paraId="5F6FE034">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地    址：青岛市高新区聚贤桥路50号高实集团10楼</w:t>
      </w:r>
    </w:p>
    <w:p w14:paraId="669074C0">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p>
    <w:p w14:paraId="5AD3F868">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2025年</w:t>
      </w:r>
      <w:r>
        <w:rPr>
          <w:rFonts w:hint="eastAsia"/>
          <w:bCs/>
          <w:kern w:val="2"/>
          <w:sz w:val="32"/>
          <w:szCs w:val="32"/>
          <w:highlight w:val="none"/>
          <w:lang w:val="en-US" w:eastAsia="zh-CN"/>
        </w:rPr>
        <w:t>5</w:t>
      </w:r>
      <w:r>
        <w:rPr>
          <w:rFonts w:hint="eastAsia"/>
          <w:bCs/>
          <w:kern w:val="2"/>
          <w:sz w:val="32"/>
          <w:szCs w:val="32"/>
          <w:highlight w:val="none"/>
        </w:rPr>
        <w:t>月</w:t>
      </w:r>
      <w:r>
        <w:rPr>
          <w:rFonts w:hint="eastAsia"/>
          <w:bCs/>
          <w:kern w:val="2"/>
          <w:sz w:val="32"/>
          <w:szCs w:val="32"/>
          <w:highlight w:val="none"/>
          <w:lang w:val="en-US" w:eastAsia="zh-CN"/>
        </w:rPr>
        <w:t>16</w:t>
      </w:r>
      <w:r>
        <w:rPr>
          <w:rFonts w:hint="eastAsia"/>
          <w:bCs/>
          <w:kern w:val="2"/>
          <w:sz w:val="32"/>
          <w:szCs w:val="32"/>
          <w:highlight w:val="none"/>
        </w:rPr>
        <w:t>日</w:t>
      </w:r>
      <w:bookmarkStart w:id="4" w:name="_Toc134452748"/>
    </w:p>
    <w:p w14:paraId="4A3EA0B5">
      <w:pPr>
        <w:pStyle w:val="2"/>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highlight w:val="none"/>
        </w:rPr>
        <w:sectPr>
          <w:footerReference r:id="rId5" w:type="first"/>
          <w:headerReference r:id="rId3" w:type="default"/>
          <w:footerReference r:id="rId4" w:type="default"/>
          <w:pgSz w:w="11906" w:h="16838"/>
          <w:pgMar w:top="1418" w:right="1474" w:bottom="1984" w:left="1587" w:header="851" w:footer="992" w:gutter="0"/>
          <w:pgBorders>
            <w:top w:val="none" w:sz="0" w:space="0"/>
            <w:left w:val="none" w:sz="0" w:space="0"/>
            <w:bottom w:val="none" w:sz="0" w:space="0"/>
            <w:right w:val="none" w:sz="0" w:space="0"/>
          </w:pgBorders>
          <w:pgNumType w:start="1"/>
          <w:cols w:space="720" w:num="1"/>
          <w:docGrid w:type="lines" w:linePitch="312" w:charSpace="0"/>
        </w:sectPr>
      </w:pPr>
      <w:bookmarkStart w:id="5" w:name="_Toc6266"/>
    </w:p>
    <w:bookmarkEnd w:id="4"/>
    <w:bookmarkEnd w:id="5"/>
    <w:p w14:paraId="60F292AD">
      <w:pPr>
        <w:spacing w:line="520" w:lineRule="exact"/>
        <w:jc w:val="center"/>
        <w:outlineLvl w:val="0"/>
        <w:rPr>
          <w:rFonts w:ascii="黑体" w:hAnsi="黑体" w:eastAsia="黑体" w:cs="黑体"/>
          <w:bCs/>
          <w:sz w:val="32"/>
          <w:szCs w:val="32"/>
          <w:highlight w:val="none"/>
        </w:rPr>
      </w:pPr>
      <w:bookmarkStart w:id="6" w:name="_Toc8468"/>
      <w:bookmarkStart w:id="7" w:name="_Toc134452749"/>
      <w:bookmarkStart w:id="8" w:name="_Toc14627"/>
      <w:r>
        <w:rPr>
          <w:rFonts w:hint="eastAsia" w:ascii="黑体" w:hAnsi="黑体" w:eastAsia="黑体" w:cs="黑体"/>
          <w:bCs/>
          <w:sz w:val="32"/>
          <w:szCs w:val="32"/>
          <w:highlight w:val="none"/>
        </w:rPr>
        <w:t>采购需求</w:t>
      </w:r>
      <w:bookmarkEnd w:id="6"/>
      <w:bookmarkEnd w:id="7"/>
      <w:bookmarkEnd w:id="8"/>
      <w:bookmarkStart w:id="9" w:name="_Toc134452750"/>
    </w:p>
    <w:bookmarkEnd w:id="9"/>
    <w:p w14:paraId="44F962BC">
      <w:pPr>
        <w:spacing w:line="560" w:lineRule="exact"/>
        <w:outlineLvl w:val="0"/>
        <w:rPr>
          <w:rFonts w:ascii="黑体" w:hAnsi="黑体" w:eastAsia="黑体" w:cs="黑体"/>
          <w:bCs/>
          <w:sz w:val="28"/>
          <w:szCs w:val="28"/>
          <w:highlight w:val="none"/>
        </w:rPr>
      </w:pPr>
    </w:p>
    <w:p w14:paraId="4EA75D21">
      <w:pPr>
        <w:pStyle w:val="4"/>
        <w:spacing w:before="0" w:after="0" w:line="560" w:lineRule="exact"/>
        <w:jc w:val="left"/>
        <w:rPr>
          <w:rFonts w:hint="eastAsia" w:ascii="仿宋" w:hAnsi="仿宋" w:eastAsia="仿宋" w:cs="Times New Roman"/>
          <w:b w:val="0"/>
          <w:bCs w:val="0"/>
          <w:kern w:val="2"/>
          <w:sz w:val="28"/>
          <w:szCs w:val="28"/>
          <w:highlight w:val="none"/>
          <w:lang w:val="en-US" w:eastAsia="zh-CN" w:bidi="ar-SA"/>
        </w:rPr>
      </w:pPr>
      <w:bookmarkStart w:id="10" w:name="_Toc138080264"/>
      <w:r>
        <w:rPr>
          <w:rFonts w:hint="eastAsia" w:asciiTheme="minorEastAsia" w:hAnsiTheme="minorEastAsia" w:eastAsiaTheme="minorEastAsia"/>
          <w:sz w:val="28"/>
          <w:szCs w:val="28"/>
          <w:highlight w:val="none"/>
        </w:rPr>
        <w:t xml:space="preserve">    </w:t>
      </w:r>
      <w:bookmarkStart w:id="11" w:name="_Toc6020"/>
      <w:r>
        <w:rPr>
          <w:rFonts w:hint="eastAsia" w:asciiTheme="minorEastAsia" w:hAnsiTheme="minorEastAsia" w:eastAsiaTheme="minorEastAsia"/>
          <w:sz w:val="28"/>
          <w:szCs w:val="28"/>
          <w:highlight w:val="none"/>
        </w:rPr>
        <w:t>1.采购产品名称：</w:t>
      </w:r>
      <w:bookmarkEnd w:id="10"/>
      <w:r>
        <w:rPr>
          <w:rFonts w:hint="eastAsia" w:ascii="仿宋" w:hAnsi="仿宋" w:eastAsia="仿宋" w:cs="Times New Roman"/>
          <w:b w:val="0"/>
          <w:bCs w:val="0"/>
          <w:kern w:val="2"/>
          <w:sz w:val="28"/>
          <w:szCs w:val="28"/>
          <w:highlight w:val="none"/>
          <w:lang w:val="en-US" w:eastAsia="zh-CN" w:bidi="ar-SA"/>
        </w:rPr>
        <w:t>高低压设备及主材，详见采购清单。</w:t>
      </w:r>
      <w:bookmarkEnd w:id="11"/>
    </w:p>
    <w:p w14:paraId="04BE73C8">
      <w:pPr>
        <w:pStyle w:val="4"/>
        <w:spacing w:before="0" w:after="0" w:line="560" w:lineRule="exact"/>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 xml:space="preserve">    </w:t>
      </w:r>
      <w:bookmarkStart w:id="12" w:name="_Toc867"/>
      <w:r>
        <w:rPr>
          <w:rFonts w:hint="eastAsia" w:asciiTheme="minorEastAsia" w:hAnsiTheme="minorEastAsia" w:eastAsiaTheme="minorEastAsia"/>
          <w:sz w:val="28"/>
          <w:szCs w:val="28"/>
          <w:highlight w:val="none"/>
        </w:rPr>
        <w:t>2.技术要求</w:t>
      </w:r>
      <w:bookmarkEnd w:id="12"/>
    </w:p>
    <w:p w14:paraId="03D87454">
      <w:pPr>
        <w:spacing w:line="560" w:lineRule="exact"/>
        <w:ind w:firstLine="560" w:firstLineChars="200"/>
        <w:rPr>
          <w:rFonts w:ascii="仿宋" w:hAnsi="仿宋" w:eastAsia="仿宋"/>
          <w:sz w:val="28"/>
          <w:szCs w:val="28"/>
          <w:highlight w:val="none"/>
        </w:rPr>
      </w:pPr>
      <w:bookmarkStart w:id="13" w:name="_Toc138080267"/>
      <w:bookmarkStart w:id="14" w:name="_Toc134452754"/>
      <w:r>
        <w:rPr>
          <w:rFonts w:hint="eastAsia" w:ascii="仿宋" w:hAnsi="仿宋" w:eastAsia="仿宋"/>
          <w:sz w:val="28"/>
          <w:szCs w:val="28"/>
          <w:highlight w:val="none"/>
        </w:rPr>
        <w:t>★2.1.供方需保证其所提供的产品必须是合同所确定的正宗原装产品，其型号、规格必须符合招标产品所列的各项参数，质量必须达到该项</w:t>
      </w:r>
      <w:r>
        <w:rPr>
          <w:rFonts w:hint="eastAsia" w:ascii="仿宋" w:hAnsi="仿宋" w:eastAsia="仿宋"/>
          <w:sz w:val="28"/>
          <w:szCs w:val="28"/>
          <w:highlight w:val="none"/>
          <w:lang w:val="en-US" w:eastAsia="zh-CN"/>
        </w:rPr>
        <w:t>产品</w:t>
      </w:r>
      <w:r>
        <w:rPr>
          <w:rFonts w:hint="eastAsia" w:ascii="仿宋" w:hAnsi="仿宋" w:eastAsia="仿宋"/>
          <w:sz w:val="28"/>
          <w:szCs w:val="28"/>
          <w:highlight w:val="none"/>
        </w:rPr>
        <w:t>的国家标准及行业质量标准，</w:t>
      </w:r>
      <w:r>
        <w:rPr>
          <w:rFonts w:hint="eastAsia" w:ascii="仿宋" w:hAnsi="仿宋" w:eastAsia="仿宋"/>
          <w:sz w:val="28"/>
          <w:szCs w:val="28"/>
          <w:highlight w:val="none"/>
          <w:lang w:eastAsia="zh-CN"/>
        </w:rPr>
        <w:t>并提供产品就位及安装</w:t>
      </w:r>
      <w:r>
        <w:rPr>
          <w:rFonts w:hint="eastAsia" w:ascii="仿宋" w:hAnsi="仿宋" w:eastAsia="仿宋"/>
          <w:sz w:val="28"/>
          <w:szCs w:val="28"/>
          <w:highlight w:val="none"/>
          <w:lang w:val="en-US" w:eastAsia="zh-CN"/>
        </w:rPr>
        <w:t>施工</w:t>
      </w:r>
      <w:r>
        <w:rPr>
          <w:rFonts w:hint="eastAsia" w:ascii="仿宋" w:hAnsi="仿宋" w:eastAsia="仿宋"/>
          <w:sz w:val="28"/>
          <w:szCs w:val="28"/>
          <w:highlight w:val="none"/>
          <w:lang w:eastAsia="zh-CN"/>
        </w:rPr>
        <w:t>服务，</w:t>
      </w:r>
      <w:r>
        <w:rPr>
          <w:rFonts w:hint="eastAsia" w:ascii="仿宋" w:hAnsi="仿宋" w:eastAsia="仿宋"/>
          <w:sz w:val="28"/>
          <w:szCs w:val="28"/>
          <w:highlight w:val="none"/>
        </w:rPr>
        <w:t>干式变压器设备须为铜芯产品，严禁使用不合格材料，假一罚十；所附各种资料及配件（软件）等必须齐全。</w:t>
      </w:r>
    </w:p>
    <w:p w14:paraId="6FEB0369">
      <w:pPr>
        <w:spacing w:line="560" w:lineRule="exact"/>
        <w:ind w:firstLine="700" w:firstLineChars="250"/>
        <w:rPr>
          <w:rFonts w:ascii="仿宋" w:hAnsi="仿宋" w:eastAsia="仿宋"/>
          <w:sz w:val="28"/>
          <w:szCs w:val="28"/>
          <w:highlight w:val="none"/>
        </w:rPr>
      </w:pPr>
      <w:r>
        <w:rPr>
          <w:rFonts w:hint="eastAsia" w:ascii="仿宋" w:hAnsi="仿宋" w:eastAsia="仿宋"/>
          <w:sz w:val="28"/>
          <w:szCs w:val="28"/>
          <w:highlight w:val="none"/>
        </w:rPr>
        <w:t>2.2.产品的验收按照国家标准、行业标准及国网验收规范进行，如相关产品所用工程项目验收中，属国网供电公司电源系统，未通过国网验收的情形，需方有权进行退货处理。</w:t>
      </w:r>
    </w:p>
    <w:p w14:paraId="2522EB05">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★2.3.成交人需随货提供产品合格证、生产许可证，出厂试验报告等。</w:t>
      </w:r>
    </w:p>
    <w:p w14:paraId="7B0349AC">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★2.4.供货期：签订合同后</w:t>
      </w:r>
      <w:r>
        <w:rPr>
          <w:rFonts w:hint="eastAsia" w:ascii="仿宋" w:hAnsi="仿宋" w:eastAsia="仿宋"/>
          <w:sz w:val="28"/>
          <w:szCs w:val="28"/>
          <w:highlight w:val="none"/>
          <w:lang w:val="en-US" w:eastAsia="zh-CN"/>
        </w:rPr>
        <w:t>15</w:t>
      </w:r>
      <w:r>
        <w:rPr>
          <w:rFonts w:hint="eastAsia" w:ascii="仿宋" w:hAnsi="仿宋" w:eastAsia="仿宋"/>
          <w:sz w:val="28"/>
          <w:szCs w:val="28"/>
          <w:highlight w:val="none"/>
        </w:rPr>
        <w:t>日内交货。</w:t>
      </w:r>
    </w:p>
    <w:p w14:paraId="23BBCEB7">
      <w:pPr>
        <w:spacing w:line="560" w:lineRule="exact"/>
        <w:ind w:firstLine="840" w:firstLineChars="300"/>
        <w:rPr>
          <w:rFonts w:ascii="仿宋" w:hAnsi="仿宋" w:eastAsia="仿宋"/>
          <w:sz w:val="28"/>
          <w:szCs w:val="28"/>
          <w:highlight w:val="none"/>
        </w:rPr>
      </w:pPr>
      <w:r>
        <w:rPr>
          <w:rFonts w:hint="eastAsia" w:ascii="仿宋" w:hAnsi="仿宋" w:eastAsia="仿宋"/>
          <w:sz w:val="28"/>
          <w:szCs w:val="28"/>
          <w:highlight w:val="none"/>
        </w:rPr>
        <w:t>2.5.服务地点：采购人指定地点。</w:t>
      </w:r>
    </w:p>
    <w:p w14:paraId="15A9BB6F">
      <w:pPr>
        <w:pStyle w:val="4"/>
        <w:spacing w:before="0" w:after="0" w:line="560" w:lineRule="exact"/>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 xml:space="preserve">    </w:t>
      </w:r>
      <w:bookmarkStart w:id="15" w:name="_Toc1588"/>
      <w:r>
        <w:rPr>
          <w:rFonts w:hint="eastAsia" w:asciiTheme="minorEastAsia" w:hAnsiTheme="minorEastAsia" w:eastAsiaTheme="minorEastAsia"/>
          <w:sz w:val="28"/>
          <w:szCs w:val="28"/>
          <w:highlight w:val="none"/>
        </w:rPr>
        <w:t>★3.付款方式</w:t>
      </w:r>
      <w:bookmarkEnd w:id="13"/>
      <w:bookmarkEnd w:id="14"/>
      <w:bookmarkEnd w:id="15"/>
    </w:p>
    <w:p w14:paraId="594F16BD">
      <w:pPr>
        <w:spacing w:line="560" w:lineRule="exact"/>
        <w:ind w:firstLine="560" w:firstLineChars="200"/>
        <w:rPr>
          <w:rFonts w:hint="eastAsia" w:ascii="仿宋" w:hAnsi="仿宋" w:eastAsia="仿宋"/>
          <w:sz w:val="28"/>
          <w:szCs w:val="28"/>
          <w:highlight w:val="none"/>
        </w:rPr>
      </w:pPr>
      <w:bookmarkStart w:id="16" w:name="_Toc138080268"/>
      <w:bookmarkStart w:id="17" w:name="_Toc134452756"/>
      <w:r>
        <w:rPr>
          <w:rFonts w:hint="eastAsia" w:ascii="仿宋" w:hAnsi="仿宋" w:eastAsia="仿宋"/>
          <w:sz w:val="28"/>
          <w:szCs w:val="28"/>
          <w:highlight w:val="none"/>
        </w:rPr>
        <w:t xml:space="preserve">  </w:t>
      </w:r>
      <w:bookmarkStart w:id="18" w:name="_Toc134452755"/>
      <w:r>
        <w:rPr>
          <w:rFonts w:hint="eastAsia" w:ascii="仿宋" w:hAnsi="仿宋" w:eastAsia="仿宋"/>
          <w:sz w:val="28"/>
          <w:szCs w:val="28"/>
          <w:highlight w:val="none"/>
        </w:rPr>
        <w:t>签订合同后，预付合同总额20%的产品款，供方组织产品生产，产品到货验收合格后付至合同总额的80%，经审计结算后，付至合同总额的97%，供方需一次性开具全额增值税专用发票，13%税率，如遇税率调整，按照最新税率政策执行，剩余3％质保期满后无息支付，最终付款时间无具体节点，结合甲方财务状况确定。</w:t>
      </w:r>
    </w:p>
    <w:bookmarkEnd w:id="18"/>
    <w:p w14:paraId="34BB1947">
      <w:pPr>
        <w:pStyle w:val="4"/>
        <w:spacing w:before="0" w:after="0" w:line="560" w:lineRule="exact"/>
        <w:ind w:firstLine="281" w:firstLineChars="10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 xml:space="preserve"> </w:t>
      </w:r>
      <w:bookmarkStart w:id="19" w:name="_Toc22563"/>
      <w:r>
        <w:rPr>
          <w:rFonts w:hint="eastAsia" w:asciiTheme="minorEastAsia" w:hAnsiTheme="minorEastAsia" w:eastAsiaTheme="minorEastAsia"/>
          <w:sz w:val="28"/>
          <w:szCs w:val="28"/>
          <w:highlight w:val="none"/>
        </w:rPr>
        <w:t>4.验收</w:t>
      </w:r>
      <w:bookmarkEnd w:id="16"/>
      <w:bookmarkEnd w:id="19"/>
    </w:p>
    <w:p w14:paraId="1826481C">
      <w:pPr>
        <w:spacing w:line="560" w:lineRule="exact"/>
        <w:ind w:firstLine="560" w:firstLineChars="200"/>
        <w:rPr>
          <w:rFonts w:ascii="仿宋" w:hAnsi="仿宋" w:eastAsia="仿宋"/>
          <w:sz w:val="28"/>
          <w:szCs w:val="28"/>
          <w:highlight w:val="none"/>
        </w:rPr>
      </w:pPr>
      <w:bookmarkStart w:id="20" w:name="_Toc138080269"/>
      <w:r>
        <w:rPr>
          <w:rFonts w:hint="eastAsia" w:ascii="仿宋" w:hAnsi="仿宋" w:eastAsia="仿宋"/>
          <w:sz w:val="28"/>
          <w:szCs w:val="28"/>
          <w:highlight w:val="none"/>
        </w:rPr>
        <w:t>4.1货物运抵现场后，采购人将对货物数量、质量、规格等进行检验。如发现货物和规格或者两者都与采购文件、响应文件、合同不符，采购人有权限根据检验结果要求成交人立即更换或者提出索赔要求。</w:t>
      </w:r>
    </w:p>
    <w:p w14:paraId="64CF32D8">
      <w:pPr>
        <w:spacing w:line="5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4.</w:t>
      </w:r>
      <w:r>
        <w:rPr>
          <w:rFonts w:ascii="仿宋" w:hAnsi="仿宋" w:eastAsia="仿宋"/>
          <w:sz w:val="28"/>
          <w:szCs w:val="28"/>
          <w:highlight w:val="none"/>
        </w:rPr>
        <w:t>2</w:t>
      </w:r>
      <w:r>
        <w:rPr>
          <w:rFonts w:hint="eastAsia" w:ascii="仿宋" w:hAnsi="仿宋" w:eastAsia="仿宋"/>
          <w:sz w:val="28"/>
          <w:szCs w:val="28"/>
          <w:highlight w:val="none"/>
        </w:rPr>
        <w:t>产品到货后由采购人对货物进行详细而全面的检验，证明货物质量无任何问题。</w:t>
      </w:r>
    </w:p>
    <w:p w14:paraId="338ECB05">
      <w:pPr>
        <w:pStyle w:val="4"/>
        <w:spacing w:before="0" w:after="0" w:line="560" w:lineRule="exact"/>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 xml:space="preserve">    </w:t>
      </w:r>
      <w:bookmarkStart w:id="21" w:name="_Toc2596"/>
      <w:r>
        <w:rPr>
          <w:rFonts w:hint="eastAsia" w:asciiTheme="minorEastAsia" w:hAnsiTheme="minorEastAsia" w:eastAsiaTheme="minorEastAsia"/>
          <w:sz w:val="28"/>
          <w:szCs w:val="28"/>
          <w:highlight w:val="none"/>
        </w:rPr>
        <w:t>5.</w:t>
      </w:r>
      <w:bookmarkEnd w:id="17"/>
      <w:r>
        <w:rPr>
          <w:rFonts w:hint="eastAsia" w:asciiTheme="minorEastAsia" w:hAnsiTheme="minorEastAsia" w:eastAsiaTheme="minorEastAsia"/>
          <w:sz w:val="28"/>
          <w:szCs w:val="28"/>
          <w:highlight w:val="none"/>
        </w:rPr>
        <w:t>质量保证期</w:t>
      </w:r>
      <w:bookmarkEnd w:id="20"/>
      <w:bookmarkEnd w:id="21"/>
    </w:p>
    <w:p w14:paraId="2890E231">
      <w:pPr>
        <w:spacing w:line="560" w:lineRule="exact"/>
        <w:ind w:firstLine="560" w:firstLineChars="200"/>
        <w:rPr>
          <w:rFonts w:hint="eastAsia" w:ascii="仿宋" w:hAnsi="仿宋" w:eastAsia="仿宋"/>
          <w:sz w:val="28"/>
          <w:szCs w:val="28"/>
          <w:highlight w:val="none"/>
        </w:rPr>
      </w:pPr>
      <w:bookmarkStart w:id="22" w:name="_Toc6121"/>
      <w:bookmarkStart w:id="23" w:name="_Toc138080270"/>
      <w:r>
        <w:rPr>
          <w:rFonts w:hint="eastAsia" w:ascii="仿宋" w:hAnsi="仿宋" w:eastAsia="仿宋"/>
          <w:sz w:val="28"/>
          <w:szCs w:val="28"/>
          <w:highlight w:val="none"/>
        </w:rPr>
        <w:t>质保期：</w:t>
      </w:r>
      <w:r>
        <w:rPr>
          <w:rFonts w:hint="eastAsia" w:ascii="仿宋" w:hAnsi="仿宋" w:eastAsia="仿宋"/>
          <w:sz w:val="28"/>
          <w:szCs w:val="28"/>
          <w:highlight w:val="none"/>
          <w:lang w:val="en-US" w:eastAsia="zh-CN"/>
        </w:rPr>
        <w:t>质</w:t>
      </w:r>
      <w:r>
        <w:rPr>
          <w:rFonts w:hint="eastAsia" w:ascii="仿宋" w:hAnsi="仿宋" w:eastAsia="仿宋"/>
          <w:sz w:val="28"/>
          <w:szCs w:val="28"/>
          <w:highlight w:val="none"/>
        </w:rPr>
        <w:t>保期为</w:t>
      </w:r>
      <w:r>
        <w:rPr>
          <w:rFonts w:hint="eastAsia" w:ascii="仿宋" w:hAnsi="仿宋" w:eastAsia="仿宋"/>
          <w:sz w:val="28"/>
          <w:szCs w:val="28"/>
          <w:highlight w:val="none"/>
          <w:lang w:val="en-US" w:eastAsia="zh-CN"/>
        </w:rPr>
        <w:t>两</w:t>
      </w:r>
      <w:r>
        <w:rPr>
          <w:rFonts w:hint="eastAsia" w:ascii="仿宋" w:hAnsi="仿宋" w:eastAsia="仿宋"/>
          <w:sz w:val="28"/>
          <w:szCs w:val="28"/>
          <w:highlight w:val="none"/>
        </w:rPr>
        <w:t>年，在质保期头三个月内，如产品运行有严重质量的问题或质量缺陷，供方应免费予以更换，以保证需方正常运行。</w:t>
      </w:r>
    </w:p>
    <w:p w14:paraId="69A9FC14">
      <w:pPr>
        <w:pStyle w:val="4"/>
        <w:spacing w:before="0" w:after="0" w:line="560" w:lineRule="exact"/>
        <w:ind w:firstLine="562" w:firstLineChars="200"/>
        <w:jc w:val="left"/>
        <w:rPr>
          <w:rFonts w:hint="eastAsia" w:asciiTheme="minorEastAsia" w:hAnsiTheme="minorEastAsia" w:eastAsiaTheme="minorEastAsia"/>
          <w:sz w:val="28"/>
          <w:szCs w:val="28"/>
          <w:highlight w:val="none"/>
          <w:lang w:eastAsia="zh-CN"/>
        </w:rPr>
      </w:pPr>
      <w:r>
        <w:rPr>
          <w:rFonts w:hint="eastAsia" w:asciiTheme="minorEastAsia" w:hAnsiTheme="minorEastAsia" w:eastAsiaTheme="minorEastAsia"/>
          <w:sz w:val="28"/>
          <w:szCs w:val="28"/>
          <w:highlight w:val="none"/>
          <w:lang w:val="en-US" w:eastAsia="zh-CN"/>
        </w:rPr>
        <w:t>6</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sz w:val="28"/>
          <w:szCs w:val="28"/>
          <w:highlight w:val="none"/>
          <w:lang w:eastAsia="zh-CN"/>
        </w:rPr>
        <w:t>品牌要求</w:t>
      </w:r>
      <w:bookmarkEnd w:id="22"/>
    </w:p>
    <w:p w14:paraId="69562528">
      <w:pPr>
        <w:pStyle w:val="4"/>
        <w:spacing w:before="0" w:after="0" w:line="560" w:lineRule="exact"/>
        <w:ind w:firstLine="560" w:firstLineChars="200"/>
        <w:jc w:val="left"/>
        <w:rPr>
          <w:rFonts w:hint="default" w:ascii="仿宋" w:hAnsi="仿宋" w:eastAsia="仿宋" w:cs="Times New Roman"/>
          <w:b w:val="0"/>
          <w:bCs w:val="0"/>
          <w:kern w:val="2"/>
          <w:sz w:val="28"/>
          <w:szCs w:val="28"/>
          <w:highlight w:val="none"/>
          <w:lang w:val="en-US" w:eastAsia="zh-CN" w:bidi="ar-SA"/>
        </w:rPr>
      </w:pPr>
      <w:r>
        <w:rPr>
          <w:rFonts w:hint="eastAsia" w:ascii="仿宋" w:hAnsi="仿宋" w:eastAsia="仿宋" w:cs="Times New Roman"/>
          <w:b w:val="0"/>
          <w:bCs w:val="0"/>
          <w:kern w:val="2"/>
          <w:sz w:val="28"/>
          <w:szCs w:val="28"/>
          <w:highlight w:val="none"/>
          <w:lang w:val="en-US" w:eastAsia="zh-CN" w:bidi="ar-SA"/>
        </w:rPr>
        <w:t>6.1.投标主要材料品牌及技术配置要求详见附表。</w:t>
      </w:r>
    </w:p>
    <w:p w14:paraId="5E8C478A">
      <w:pPr>
        <w:pStyle w:val="4"/>
        <w:spacing w:before="0" w:after="0" w:line="560" w:lineRule="exact"/>
        <w:ind w:firstLine="560" w:firstLineChars="200"/>
        <w:jc w:val="left"/>
        <w:rPr>
          <w:rFonts w:hint="eastAsia" w:ascii="仿宋" w:hAnsi="仿宋" w:eastAsia="仿宋" w:cs="Times New Roman"/>
          <w:b w:val="0"/>
          <w:bCs w:val="0"/>
          <w:kern w:val="2"/>
          <w:sz w:val="28"/>
          <w:szCs w:val="28"/>
          <w:highlight w:val="none"/>
          <w:lang w:val="en-US" w:eastAsia="zh-CN" w:bidi="ar-SA"/>
        </w:rPr>
      </w:pPr>
      <w:r>
        <w:rPr>
          <w:rFonts w:hint="eastAsia" w:ascii="仿宋" w:hAnsi="仿宋" w:eastAsia="仿宋" w:cs="Times New Roman"/>
          <w:b w:val="0"/>
          <w:bCs w:val="0"/>
          <w:kern w:val="2"/>
          <w:sz w:val="28"/>
          <w:szCs w:val="28"/>
          <w:highlight w:val="none"/>
          <w:lang w:val="en-US" w:eastAsia="zh-CN" w:bidi="ar-SA"/>
        </w:rPr>
        <w:t>6.2.不接受贴牌、代工或非授权渠道产品。</w:t>
      </w:r>
    </w:p>
    <w:p w14:paraId="6A86D706">
      <w:pPr>
        <w:pStyle w:val="4"/>
        <w:spacing w:before="0" w:after="0" w:line="560" w:lineRule="exact"/>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 xml:space="preserve">    </w:t>
      </w:r>
      <w:bookmarkStart w:id="24" w:name="_Toc29103"/>
      <w:r>
        <w:rPr>
          <w:rFonts w:hint="eastAsia" w:asciiTheme="minorEastAsia" w:hAnsiTheme="minorEastAsia" w:eastAsiaTheme="minorEastAsia"/>
          <w:sz w:val="28"/>
          <w:szCs w:val="28"/>
          <w:highlight w:val="none"/>
          <w:lang w:val="en-US" w:eastAsia="zh-CN"/>
        </w:rPr>
        <w:t>7</w:t>
      </w:r>
      <w:r>
        <w:rPr>
          <w:rFonts w:hint="eastAsia" w:asciiTheme="minorEastAsia" w:hAnsiTheme="minorEastAsia" w:eastAsiaTheme="minorEastAsia"/>
          <w:sz w:val="28"/>
          <w:szCs w:val="28"/>
          <w:highlight w:val="none"/>
        </w:rPr>
        <w:t>.售后服务</w:t>
      </w:r>
      <w:bookmarkEnd w:id="23"/>
      <w:bookmarkEnd w:id="24"/>
    </w:p>
    <w:p w14:paraId="4DA793CA">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.1.成交人应提供及时周到的售后服务，应保证每季度至少一次上门回访、检修。</w:t>
      </w:r>
    </w:p>
    <w:p w14:paraId="23F191E3">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.2成交人在接采购人通知1小时做出响应，2小时内到达现场，24小时内维修完毕。</w:t>
      </w:r>
    </w:p>
    <w:p w14:paraId="3B3261AD">
      <w:pPr>
        <w:spacing w:line="560" w:lineRule="exact"/>
        <w:ind w:firstLine="560"/>
        <w:rPr>
          <w:highlight w:val="none"/>
        </w:rPr>
      </w:pPr>
      <w:r>
        <w:rPr>
          <w:rFonts w:hint="eastAsia" w:ascii="仿宋" w:hAnsi="仿宋" w:eastAsia="仿宋"/>
          <w:sz w:val="28"/>
          <w:szCs w:val="28"/>
          <w:highlight w:val="none"/>
        </w:rPr>
        <w:t>带“★”条款为实质性条款，成交人必须按照采购文件的要求做出实质性响应。</w:t>
      </w:r>
    </w:p>
    <w:p w14:paraId="54685B08">
      <w:pPr>
        <w:rPr>
          <w:highlight w:val="none"/>
        </w:rPr>
      </w:pPr>
    </w:p>
    <w:p w14:paraId="00F772E6">
      <w:pPr>
        <w:rPr>
          <w:highlight w:val="none"/>
        </w:rPr>
      </w:pPr>
    </w:p>
    <w:p w14:paraId="2AD0AD2F">
      <w:pPr>
        <w:rPr>
          <w:rFonts w:hint="eastAsia" w:ascii="仿宋" w:hAnsi="仿宋" w:eastAsia="仿宋"/>
          <w:b/>
          <w:bCs/>
          <w:sz w:val="28"/>
          <w:szCs w:val="28"/>
          <w:highlight w:val="none"/>
        </w:rPr>
      </w:pPr>
      <w:r>
        <w:rPr>
          <w:rFonts w:hint="eastAsia" w:ascii="仿宋" w:hAnsi="仿宋" w:eastAsia="仿宋"/>
          <w:b/>
          <w:bCs/>
          <w:sz w:val="28"/>
          <w:szCs w:val="28"/>
          <w:highlight w:val="none"/>
        </w:rPr>
        <w:t>附录：</w:t>
      </w:r>
      <w:r>
        <w:rPr>
          <w:rFonts w:hint="eastAsia" w:ascii="仿宋" w:hAnsi="仿宋" w:eastAsia="仿宋"/>
          <w:b/>
          <w:bCs/>
          <w:sz w:val="28"/>
          <w:szCs w:val="28"/>
          <w:highlight w:val="none"/>
          <w:lang w:val="en-US" w:eastAsia="zh-CN"/>
        </w:rPr>
        <w:t>高新区5号能源站一期变配电室工程高低压设备及主材采购</w:t>
      </w:r>
      <w:r>
        <w:rPr>
          <w:rFonts w:hint="eastAsia" w:ascii="仿宋" w:hAnsi="仿宋" w:eastAsia="仿宋"/>
          <w:b/>
          <w:bCs/>
          <w:sz w:val="28"/>
          <w:szCs w:val="28"/>
          <w:highlight w:val="none"/>
        </w:rPr>
        <w:t>清单控制价（含税价，增值税税率为13%）</w:t>
      </w:r>
    </w:p>
    <w:p w14:paraId="51763332">
      <w:pPr>
        <w:rPr>
          <w:rFonts w:hint="eastAsia" w:ascii="仿宋" w:hAnsi="仿宋" w:eastAsia="仿宋"/>
          <w:b/>
          <w:bCs/>
          <w:sz w:val="28"/>
          <w:szCs w:val="28"/>
          <w:highlight w:val="none"/>
        </w:rPr>
      </w:pPr>
    </w:p>
    <w:p w14:paraId="3D5F4CD4">
      <w:pPr>
        <w:rPr>
          <w:rFonts w:hint="eastAsia" w:ascii="仿宋" w:hAnsi="仿宋" w:eastAsia="仿宋"/>
          <w:b/>
          <w:bCs/>
          <w:sz w:val="28"/>
          <w:szCs w:val="28"/>
          <w:highlight w:val="none"/>
        </w:rPr>
      </w:pPr>
    </w:p>
    <w:p w14:paraId="14718D54">
      <w:pPr>
        <w:rPr>
          <w:rFonts w:hint="eastAsia" w:ascii="仿宋" w:hAnsi="仿宋" w:eastAsia="仿宋"/>
          <w:b/>
          <w:bCs/>
          <w:sz w:val="28"/>
          <w:szCs w:val="28"/>
          <w:highlight w:val="none"/>
        </w:rPr>
      </w:pPr>
    </w:p>
    <w:p w14:paraId="17173F07">
      <w:pPr>
        <w:rPr>
          <w:rFonts w:hint="eastAsia" w:ascii="仿宋" w:hAnsi="仿宋" w:eastAsia="仿宋"/>
          <w:b/>
          <w:bCs/>
          <w:sz w:val="28"/>
          <w:szCs w:val="28"/>
          <w:highlight w:val="none"/>
        </w:rPr>
      </w:pPr>
    </w:p>
    <w:p w14:paraId="50AED334">
      <w:pPr>
        <w:rPr>
          <w:rFonts w:hint="eastAsia" w:ascii="仿宋" w:hAnsi="仿宋" w:eastAsia="仿宋"/>
          <w:b/>
          <w:bCs/>
          <w:sz w:val="28"/>
          <w:szCs w:val="28"/>
          <w:highlight w:val="none"/>
        </w:rPr>
      </w:pPr>
    </w:p>
    <w:p w14:paraId="568DF0A8">
      <w:pPr>
        <w:rPr>
          <w:rFonts w:hint="eastAsia" w:ascii="仿宋" w:hAnsi="仿宋" w:eastAsia="仿宋"/>
          <w:b/>
          <w:bCs/>
          <w:sz w:val="28"/>
          <w:szCs w:val="28"/>
          <w:highlight w:val="none"/>
        </w:rPr>
      </w:pPr>
    </w:p>
    <w:tbl>
      <w:tblPr>
        <w:tblStyle w:val="28"/>
        <w:tblpPr w:leftFromText="180" w:rightFromText="180" w:vertAnchor="text" w:horzAnchor="page" w:tblpX="1522" w:tblpY="189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316"/>
        <w:gridCol w:w="3410"/>
        <w:gridCol w:w="616"/>
        <w:gridCol w:w="766"/>
        <w:gridCol w:w="1206"/>
        <w:gridCol w:w="1316"/>
      </w:tblGrid>
      <w:tr w14:paraId="58CC6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8B04">
            <w:pPr>
              <w:keepNext w:val="0"/>
              <w:keepLines w:val="0"/>
              <w:widowControl/>
              <w:suppressLineNumbers w:val="0"/>
              <w:jc w:val="both"/>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780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B6A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00D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05B4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采购数量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5E4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控制单价</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A63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控制总价</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（元）</w:t>
            </w:r>
          </w:p>
        </w:tc>
      </w:tr>
      <w:tr w14:paraId="0592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715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5D37E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隔离开关及配套操动机构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4B5D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GN19-12/1250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C64D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DCA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454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15660.2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636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31320.4</w:t>
            </w:r>
          </w:p>
        </w:tc>
      </w:tr>
      <w:tr w14:paraId="55439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436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6719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直流电源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E527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DC220V,60AH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D2AB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B9B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7B3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10506.41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943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31519.23</w:t>
            </w:r>
          </w:p>
        </w:tc>
      </w:tr>
      <w:tr w14:paraId="2CFCE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64F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E6E1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低压柜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87CB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1D01/2D01，MNS柜，进线柜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7451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B37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6D8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65375.91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A61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130751.82</w:t>
            </w:r>
          </w:p>
        </w:tc>
      </w:tr>
      <w:tr w14:paraId="71C49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8D1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B594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低压柜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BB86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3D01，MNS柜，进线柜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9D18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C0F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588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26251.9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770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26251.9</w:t>
            </w:r>
          </w:p>
        </w:tc>
      </w:tr>
      <w:tr w14:paraId="0655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6AB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2C6E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低压柜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64DD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2D02，MNS柜，联络柜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D29CC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BBD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99A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65345.66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F06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65345.66</w:t>
            </w:r>
          </w:p>
        </w:tc>
      </w:tr>
      <w:tr w14:paraId="0FA48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7E1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7466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低压柜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68D6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3D04，MNS柜，联络柜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14E6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ED4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2D8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24006.25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085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24006.25</w:t>
            </w:r>
          </w:p>
        </w:tc>
      </w:tr>
      <w:tr w14:paraId="7DB60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350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97C3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低压柜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808E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MNS柜，1D04-1D10,2D05-2D10,3D03-3D06出线柜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538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557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FDE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39874.32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203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637989.12</w:t>
            </w:r>
          </w:p>
        </w:tc>
      </w:tr>
      <w:tr w14:paraId="2A565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458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1AA9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低压柜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CB9E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MNS柜,1D02/1D03/2D03/2D04无功补偿柜，240kVar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0F0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177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7FB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62609.75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2CD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250439</w:t>
            </w:r>
          </w:p>
        </w:tc>
      </w:tr>
      <w:tr w14:paraId="579FB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9D8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2601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低压柜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BEAA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MNS柜,3D02无功补偿柜，75kVar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314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B31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DE6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26825.57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EB7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26825.57</w:t>
            </w:r>
          </w:p>
        </w:tc>
      </w:tr>
      <w:tr w14:paraId="6730D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985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4BE0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KYN28-12kV开关柜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A8CA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G01/G10，31.5kA,1250A进线柜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14F8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057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2B3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56765.1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744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113530.2</w:t>
            </w:r>
          </w:p>
        </w:tc>
      </w:tr>
      <w:tr w14:paraId="3BB3D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4B0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1D76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KYN28-12kV开关柜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F7FA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G02/G11，计量柜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9A278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381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D41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29650.61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FA5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59301.22</w:t>
            </w:r>
          </w:p>
        </w:tc>
      </w:tr>
      <w:tr w14:paraId="49DC4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09E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ECFB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KYN28-12kV开关柜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5AB8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G14，馈线柜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97F8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7F9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9D4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52429.5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E0A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52429.5</w:t>
            </w:r>
          </w:p>
        </w:tc>
      </w:tr>
      <w:tr w14:paraId="61666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074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B8CF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KYN28-12kV开关柜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DA08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G04/G13，馈线柜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19E7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A45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EC2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52429.5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61E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104859</w:t>
            </w:r>
          </w:p>
        </w:tc>
      </w:tr>
      <w:tr w14:paraId="6CA3E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CE2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4CC9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KYN28-12kV开关柜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2731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G03/G12，PT柜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1C29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2E4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0EE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28099.61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D28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56199.22</w:t>
            </w:r>
          </w:p>
        </w:tc>
      </w:tr>
      <w:tr w14:paraId="7F95C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AD8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011B9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干式变压器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C52E6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SCB14-1600/10 1600kVA 10.5±2×2.5%/0.4kV，Dyn11,UK=6%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5D90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442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73E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204550.97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1C5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409101.94</w:t>
            </w:r>
          </w:p>
        </w:tc>
      </w:tr>
      <w:tr w14:paraId="68CBD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54B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462E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干式变压器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3E2E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SCB14-250/10 250kVA 10.5±2×2.5%/0.4kV，Dyn11,UK=4%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432C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2B1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722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58626.9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E57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58626.9</w:t>
            </w:r>
          </w:p>
        </w:tc>
      </w:tr>
      <w:tr w14:paraId="41570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009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A2CC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低压密集型母线槽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B7E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3150A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7177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0AD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913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867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221940</w:t>
            </w:r>
          </w:p>
        </w:tc>
      </w:tr>
      <w:tr w14:paraId="6A5A8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548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FF9A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低压密集型母线槽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04F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630A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A601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240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29D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3624.33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D91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25370.31</w:t>
            </w:r>
          </w:p>
        </w:tc>
      </w:tr>
      <w:tr w14:paraId="43ABF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D37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A91D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户内冷缩式电缆终端头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F48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8A3B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391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033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3E3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1780</w:t>
            </w:r>
          </w:p>
        </w:tc>
      </w:tr>
      <w:tr w14:paraId="00125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92F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749E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户内冷缩式电缆终端头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8FC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F6CF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A70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149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176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890</w:t>
            </w:r>
          </w:p>
        </w:tc>
      </w:tr>
      <w:tr w14:paraId="7B6A7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7F7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4CF6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配电室安全工器具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13CE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名称:安全工器具(配电室专用)2.配电室安全工器具全套:配套消防器材、模拟板、绝缘垫、安全帽、10KV绝缘靴、10KV绝缘手套、验电器、工具橱、绝缘棒、接地线、工具橱警示牌、挡鼠板、导向指引牌、门上警示牌、摇表、配电室刷漆、梯子、安全操作制度牌、外电源线路路径图及负荷分接图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ACC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78A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D6A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C88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24600</w:t>
            </w:r>
          </w:p>
        </w:tc>
      </w:tr>
      <w:tr w14:paraId="2F3DF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6328">
            <w:pPr>
              <w:jc w:val="center"/>
              <w:rPr>
                <w:rFonts w:hint="eastAsia" w:ascii="仿宋" w:hAnsi="仿宋" w:eastAsia="仿宋" w:cs="仿宋"/>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B45C3">
            <w:pPr>
              <w:jc w:val="center"/>
              <w:rPr>
                <w:rFonts w:hint="eastAsia" w:ascii="仿宋" w:hAnsi="仿宋" w:eastAsia="仿宋" w:cs="仿宋"/>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0CB52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4197C">
            <w:pPr>
              <w:jc w:val="center"/>
              <w:rPr>
                <w:rFonts w:hint="eastAsia" w:ascii="仿宋" w:hAnsi="仿宋" w:eastAsia="仿宋" w:cs="仿宋"/>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62C6">
            <w:pPr>
              <w:jc w:val="center"/>
              <w:rPr>
                <w:rFonts w:hint="eastAsia" w:ascii="仿宋" w:hAnsi="仿宋" w:eastAsia="仿宋" w:cs="仿宋"/>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2945">
            <w:pPr>
              <w:jc w:val="center"/>
              <w:rPr>
                <w:rFonts w:hint="eastAsia" w:ascii="仿宋" w:hAnsi="仿宋" w:eastAsia="仿宋" w:cs="仿宋"/>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548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2353077.24</w:t>
            </w:r>
          </w:p>
        </w:tc>
      </w:tr>
    </w:tbl>
    <w:p w14:paraId="63896524">
      <w:pPr>
        <w:spacing w:line="560" w:lineRule="exact"/>
        <w:ind w:firstLine="560" w:firstLineChars="200"/>
        <w:rPr>
          <w:rFonts w:ascii="仿宋" w:hAnsi="仿宋" w:eastAsia="仿宋"/>
          <w:sz w:val="28"/>
          <w:szCs w:val="28"/>
          <w:highlight w:val="none"/>
        </w:rPr>
      </w:pPr>
    </w:p>
    <w:p w14:paraId="1121B084">
      <w:pPr>
        <w:rPr>
          <w:rFonts w:ascii="仿宋" w:hAnsi="仿宋" w:eastAsia="仿宋"/>
          <w:sz w:val="28"/>
          <w:szCs w:val="28"/>
          <w:highlight w:val="none"/>
        </w:rPr>
      </w:pPr>
      <w:r>
        <w:rPr>
          <w:rFonts w:ascii="仿宋" w:hAnsi="仿宋" w:eastAsia="仿宋"/>
          <w:sz w:val="28"/>
          <w:szCs w:val="28"/>
          <w:highlight w:val="none"/>
        </w:rPr>
        <w:br w:type="page"/>
      </w:r>
    </w:p>
    <w:p w14:paraId="0DE3E14A">
      <w:pPr>
        <w:spacing w:line="560" w:lineRule="exact"/>
        <w:rPr>
          <w:rFonts w:ascii="仿宋" w:hAnsi="仿宋" w:eastAsia="仿宋"/>
          <w:sz w:val="28"/>
          <w:szCs w:val="28"/>
          <w:highlight w:val="none"/>
        </w:rPr>
      </w:pPr>
    </w:p>
    <w:p w14:paraId="564DE20B">
      <w:pPr>
        <w:rPr>
          <w:szCs w:val="28"/>
          <w:highlight w:val="none"/>
        </w:rPr>
      </w:pPr>
    </w:p>
    <w:p w14:paraId="079FF7DE">
      <w:pPr>
        <w:rPr>
          <w:rFonts w:hint="eastAsia" w:ascii="仿宋" w:hAnsi="仿宋" w:eastAsia="仿宋"/>
          <w:b/>
          <w:bCs/>
          <w:sz w:val="28"/>
          <w:szCs w:val="28"/>
          <w:highlight w:val="none"/>
          <w:lang w:val="en-US" w:eastAsia="zh-CN"/>
        </w:rPr>
      </w:pPr>
      <w:bookmarkStart w:id="25" w:name="_Toc26951"/>
      <w:bookmarkStart w:id="26" w:name="_Toc20428"/>
      <w:bookmarkStart w:id="27" w:name="_Toc134452757"/>
      <w:r>
        <w:rPr>
          <w:rFonts w:hint="eastAsia" w:ascii="仿宋" w:hAnsi="仿宋" w:eastAsia="仿宋"/>
          <w:b/>
          <w:bCs/>
          <w:sz w:val="28"/>
          <w:szCs w:val="28"/>
          <w:highlight w:val="none"/>
        </w:rPr>
        <w:t>附录：</w:t>
      </w:r>
      <w:r>
        <w:rPr>
          <w:rFonts w:hint="eastAsia" w:ascii="仿宋" w:hAnsi="仿宋" w:eastAsia="仿宋"/>
          <w:b/>
          <w:bCs/>
          <w:sz w:val="28"/>
          <w:szCs w:val="28"/>
          <w:highlight w:val="none"/>
          <w:lang w:val="en-US" w:eastAsia="zh-CN"/>
        </w:rPr>
        <w:t>高新区5号能源站一期变配电室工程高低压设备及主材采购主要材料品牌技术配置表</w:t>
      </w:r>
    </w:p>
    <w:tbl>
      <w:tblPr>
        <w:tblStyle w:val="28"/>
        <w:tblW w:w="8600" w:type="dxa"/>
        <w:jc w:val="center"/>
        <w:tblLayout w:type="autofit"/>
        <w:tblCellMar>
          <w:top w:w="0" w:type="dxa"/>
          <w:left w:w="108" w:type="dxa"/>
          <w:bottom w:w="0" w:type="dxa"/>
          <w:right w:w="108" w:type="dxa"/>
        </w:tblCellMar>
      </w:tblPr>
      <w:tblGrid>
        <w:gridCol w:w="600"/>
        <w:gridCol w:w="1957"/>
        <w:gridCol w:w="3260"/>
        <w:gridCol w:w="2783"/>
      </w:tblGrid>
      <w:tr w14:paraId="20D8A7F5">
        <w:tblPrEx>
          <w:tblCellMar>
            <w:top w:w="0" w:type="dxa"/>
            <w:left w:w="108" w:type="dxa"/>
            <w:bottom w:w="0" w:type="dxa"/>
            <w:right w:w="108" w:type="dxa"/>
          </w:tblCellMar>
        </w:tblPrEx>
        <w:trPr>
          <w:trHeight w:val="375" w:hRule="atLeast"/>
          <w:jc w:val="center"/>
        </w:trPr>
        <w:tc>
          <w:tcPr>
            <w:tcW w:w="8600" w:type="dxa"/>
            <w:gridSpan w:val="4"/>
            <w:tcBorders>
              <w:top w:val="nil"/>
              <w:left w:val="nil"/>
              <w:bottom w:val="single" w:color="000000" w:sz="4" w:space="0"/>
              <w:right w:val="nil"/>
            </w:tcBorders>
            <w:noWrap/>
            <w:vAlign w:val="center"/>
          </w:tcPr>
          <w:p w14:paraId="02ABA720">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b/>
                <w:sz w:val="24"/>
                <w:szCs w:val="24"/>
                <w:highlight w:val="none"/>
              </w:rPr>
              <w:t>主要材料品牌技术配置表</w:t>
            </w:r>
          </w:p>
        </w:tc>
      </w:tr>
      <w:tr w14:paraId="4162B754">
        <w:tblPrEx>
          <w:tblCellMar>
            <w:top w:w="0" w:type="dxa"/>
            <w:left w:w="108" w:type="dxa"/>
            <w:bottom w:w="0" w:type="dxa"/>
            <w:right w:w="108" w:type="dxa"/>
          </w:tblCellMar>
        </w:tblPrEx>
        <w:trPr>
          <w:trHeight w:val="450" w:hRule="atLeast"/>
          <w:jc w:val="center"/>
        </w:trPr>
        <w:tc>
          <w:tcPr>
            <w:tcW w:w="600" w:type="dxa"/>
            <w:tcBorders>
              <w:top w:val="nil"/>
              <w:left w:val="single" w:color="000000" w:sz="4" w:space="0"/>
              <w:bottom w:val="single" w:color="000000" w:sz="4" w:space="0"/>
              <w:right w:val="single" w:color="000000" w:sz="4" w:space="0"/>
            </w:tcBorders>
            <w:vAlign w:val="center"/>
          </w:tcPr>
          <w:p w14:paraId="6F8BBE33">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序号</w:t>
            </w:r>
          </w:p>
        </w:tc>
        <w:tc>
          <w:tcPr>
            <w:tcW w:w="1957" w:type="dxa"/>
            <w:tcBorders>
              <w:top w:val="nil"/>
              <w:left w:val="nil"/>
              <w:bottom w:val="single" w:color="000000" w:sz="4" w:space="0"/>
              <w:right w:val="single" w:color="000000" w:sz="4" w:space="0"/>
            </w:tcBorders>
            <w:vAlign w:val="center"/>
          </w:tcPr>
          <w:p w14:paraId="20D4646A">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材料名称</w:t>
            </w:r>
          </w:p>
        </w:tc>
        <w:tc>
          <w:tcPr>
            <w:tcW w:w="3260" w:type="dxa"/>
            <w:tcBorders>
              <w:top w:val="nil"/>
              <w:left w:val="nil"/>
              <w:bottom w:val="single" w:color="000000" w:sz="4" w:space="0"/>
              <w:right w:val="single" w:color="000000" w:sz="4" w:space="0"/>
            </w:tcBorders>
            <w:vAlign w:val="center"/>
          </w:tcPr>
          <w:p w14:paraId="390A34B5">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品牌/厂家范围</w:t>
            </w:r>
          </w:p>
        </w:tc>
        <w:tc>
          <w:tcPr>
            <w:tcW w:w="2783" w:type="dxa"/>
            <w:tcBorders>
              <w:top w:val="nil"/>
              <w:left w:val="nil"/>
              <w:bottom w:val="single" w:color="000000" w:sz="4" w:space="0"/>
              <w:right w:val="single" w:color="000000" w:sz="4" w:space="0"/>
            </w:tcBorders>
            <w:vAlign w:val="center"/>
          </w:tcPr>
          <w:p w14:paraId="624047A9">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备注</w:t>
            </w:r>
          </w:p>
        </w:tc>
      </w:tr>
      <w:tr w14:paraId="3CCDA5B9">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45D1AA49">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957" w:type="dxa"/>
            <w:tcBorders>
              <w:top w:val="nil"/>
              <w:left w:val="nil"/>
              <w:bottom w:val="single" w:color="000000" w:sz="4" w:space="0"/>
              <w:right w:val="single" w:color="000000" w:sz="4" w:space="0"/>
            </w:tcBorders>
            <w:vAlign w:val="center"/>
          </w:tcPr>
          <w:p w14:paraId="0760FBD6">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10kV真空断路器</w:t>
            </w:r>
          </w:p>
        </w:tc>
        <w:tc>
          <w:tcPr>
            <w:tcW w:w="3260" w:type="dxa"/>
            <w:tcBorders>
              <w:top w:val="nil"/>
              <w:left w:val="nil"/>
              <w:bottom w:val="single" w:color="000000" w:sz="4" w:space="0"/>
              <w:right w:val="single" w:color="000000" w:sz="4" w:space="0"/>
            </w:tcBorders>
            <w:vAlign w:val="center"/>
          </w:tcPr>
          <w:p w14:paraId="56273852">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上海人民、常熟开关、泰永长征、乐星产电</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杭申电气</w:t>
            </w:r>
          </w:p>
        </w:tc>
        <w:tc>
          <w:tcPr>
            <w:tcW w:w="2783" w:type="dxa"/>
            <w:tcBorders>
              <w:left w:val="nil"/>
              <w:bottom w:val="single" w:color="000000" w:sz="4" w:space="0"/>
              <w:right w:val="single" w:color="000000" w:sz="4" w:space="0"/>
            </w:tcBorders>
            <w:vAlign w:val="center"/>
          </w:tcPr>
          <w:p w14:paraId="17C6362D">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国产一线</w:t>
            </w:r>
          </w:p>
        </w:tc>
      </w:tr>
      <w:tr w14:paraId="327E325C">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7AE3C825">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957" w:type="dxa"/>
            <w:tcBorders>
              <w:top w:val="nil"/>
              <w:left w:val="nil"/>
              <w:bottom w:val="single" w:color="000000" w:sz="4" w:space="0"/>
              <w:right w:val="single" w:color="000000" w:sz="4" w:space="0"/>
            </w:tcBorders>
            <w:vAlign w:val="center"/>
          </w:tcPr>
          <w:p w14:paraId="636CF335">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低压框架断路器</w:t>
            </w:r>
          </w:p>
        </w:tc>
        <w:tc>
          <w:tcPr>
            <w:tcW w:w="3260" w:type="dxa"/>
            <w:tcBorders>
              <w:top w:val="nil"/>
              <w:left w:val="nil"/>
              <w:bottom w:val="single" w:color="000000" w:sz="4" w:space="0"/>
              <w:right w:val="single" w:color="000000" w:sz="4" w:space="0"/>
            </w:tcBorders>
            <w:vAlign w:val="center"/>
          </w:tcPr>
          <w:p w14:paraId="01A64BF0">
            <w:pPr>
              <w:widowControl/>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上海人民RMW1、常熟开关CW3V、泰永长征MA41系列、乐星产电AN/AS系列</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杭申电气</w:t>
            </w:r>
          </w:p>
        </w:tc>
        <w:tc>
          <w:tcPr>
            <w:tcW w:w="2783" w:type="dxa"/>
            <w:tcBorders>
              <w:top w:val="nil"/>
              <w:left w:val="nil"/>
              <w:bottom w:val="single" w:color="000000" w:sz="4" w:space="0"/>
              <w:right w:val="single" w:color="000000" w:sz="4" w:space="0"/>
            </w:tcBorders>
            <w:vAlign w:val="center"/>
          </w:tcPr>
          <w:p w14:paraId="42E5754C">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极限分段能力达到80KA以上</w:t>
            </w:r>
          </w:p>
        </w:tc>
      </w:tr>
      <w:tr w14:paraId="21E0B396">
        <w:tblPrEx>
          <w:tblCellMar>
            <w:top w:w="0" w:type="dxa"/>
            <w:left w:w="108" w:type="dxa"/>
            <w:bottom w:w="0" w:type="dxa"/>
            <w:right w:w="108" w:type="dxa"/>
          </w:tblCellMar>
        </w:tblPrEx>
        <w:trPr>
          <w:trHeight w:val="889" w:hRule="atLeast"/>
          <w:jc w:val="center"/>
        </w:trPr>
        <w:tc>
          <w:tcPr>
            <w:tcW w:w="600" w:type="dxa"/>
            <w:tcBorders>
              <w:top w:val="nil"/>
              <w:left w:val="single" w:color="000000" w:sz="4" w:space="0"/>
              <w:bottom w:val="single" w:color="000000" w:sz="4" w:space="0"/>
              <w:right w:val="single" w:color="000000" w:sz="4" w:space="0"/>
            </w:tcBorders>
            <w:vAlign w:val="center"/>
          </w:tcPr>
          <w:p w14:paraId="54087513">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1957" w:type="dxa"/>
            <w:tcBorders>
              <w:top w:val="nil"/>
              <w:left w:val="nil"/>
              <w:bottom w:val="single" w:color="000000" w:sz="4" w:space="0"/>
              <w:right w:val="single" w:color="000000" w:sz="4" w:space="0"/>
            </w:tcBorders>
            <w:vAlign w:val="center"/>
          </w:tcPr>
          <w:p w14:paraId="669CBE88">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低压塑壳断路器</w:t>
            </w:r>
          </w:p>
        </w:tc>
        <w:tc>
          <w:tcPr>
            <w:tcW w:w="3260" w:type="dxa"/>
            <w:tcBorders>
              <w:top w:val="nil"/>
              <w:left w:val="nil"/>
              <w:bottom w:val="single" w:color="000000" w:sz="4" w:space="0"/>
              <w:right w:val="single" w:color="000000" w:sz="4" w:space="0"/>
            </w:tcBorders>
            <w:vAlign w:val="center"/>
          </w:tcPr>
          <w:p w14:paraId="634523B3">
            <w:pPr>
              <w:widowControl/>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上海人民RMM1、常熟开关CM5、泰永长征MB41系列、乐星产电ABS系列</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杭申电气</w:t>
            </w:r>
          </w:p>
        </w:tc>
        <w:tc>
          <w:tcPr>
            <w:tcW w:w="2783" w:type="dxa"/>
            <w:tcBorders>
              <w:top w:val="nil"/>
              <w:left w:val="nil"/>
              <w:bottom w:val="single" w:color="000000" w:sz="4" w:space="0"/>
              <w:right w:val="single" w:color="000000" w:sz="4" w:space="0"/>
            </w:tcBorders>
            <w:vAlign w:val="center"/>
          </w:tcPr>
          <w:p w14:paraId="011BF53B">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极限分段能力达到50KA以上</w:t>
            </w:r>
          </w:p>
        </w:tc>
      </w:tr>
      <w:tr w14:paraId="4A6246ED">
        <w:tblPrEx>
          <w:tblCellMar>
            <w:top w:w="0" w:type="dxa"/>
            <w:left w:w="108" w:type="dxa"/>
            <w:bottom w:w="0" w:type="dxa"/>
            <w:right w:w="108" w:type="dxa"/>
          </w:tblCellMar>
        </w:tblPrEx>
        <w:trPr>
          <w:trHeight w:val="904" w:hRule="atLeast"/>
          <w:jc w:val="center"/>
        </w:trPr>
        <w:tc>
          <w:tcPr>
            <w:tcW w:w="600" w:type="dxa"/>
            <w:tcBorders>
              <w:top w:val="nil"/>
              <w:left w:val="single" w:color="000000" w:sz="4" w:space="0"/>
              <w:bottom w:val="single" w:color="000000" w:sz="4" w:space="0"/>
              <w:right w:val="single" w:color="000000" w:sz="4" w:space="0"/>
            </w:tcBorders>
            <w:vAlign w:val="center"/>
          </w:tcPr>
          <w:p w14:paraId="263AEDA3">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1957" w:type="dxa"/>
            <w:tcBorders>
              <w:top w:val="nil"/>
              <w:left w:val="nil"/>
              <w:bottom w:val="single" w:color="000000" w:sz="4" w:space="0"/>
              <w:right w:val="single" w:color="000000" w:sz="4" w:space="0"/>
            </w:tcBorders>
            <w:vAlign w:val="center"/>
          </w:tcPr>
          <w:p w14:paraId="0243AB58">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10kV变压器（全铜）</w:t>
            </w:r>
          </w:p>
        </w:tc>
        <w:tc>
          <w:tcPr>
            <w:tcW w:w="3260" w:type="dxa"/>
            <w:tcBorders>
              <w:top w:val="nil"/>
              <w:left w:val="nil"/>
              <w:bottom w:val="single" w:color="000000" w:sz="4" w:space="0"/>
              <w:right w:val="single" w:color="000000" w:sz="4" w:space="0"/>
            </w:tcBorders>
            <w:vAlign w:val="center"/>
          </w:tcPr>
          <w:p w14:paraId="1796F08A">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青岛恒能、青岛特锐德、山东泰开、青岛青电、青岛恒生、江苏华辰、临清亿合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青岛海电</w:t>
            </w:r>
          </w:p>
        </w:tc>
        <w:tc>
          <w:tcPr>
            <w:tcW w:w="2783" w:type="dxa"/>
            <w:tcBorders>
              <w:top w:val="nil"/>
              <w:left w:val="nil"/>
              <w:bottom w:val="single" w:color="000000" w:sz="4" w:space="0"/>
              <w:right w:val="single" w:color="000000" w:sz="4" w:space="0"/>
            </w:tcBorders>
            <w:vAlign w:val="center"/>
          </w:tcPr>
          <w:p w14:paraId="15D04816">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国产一线</w:t>
            </w:r>
          </w:p>
        </w:tc>
      </w:tr>
      <w:tr w14:paraId="0A1B0E4B">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08E0CE6A">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w:t>
            </w:r>
          </w:p>
        </w:tc>
        <w:tc>
          <w:tcPr>
            <w:tcW w:w="1957" w:type="dxa"/>
            <w:tcBorders>
              <w:top w:val="nil"/>
              <w:left w:val="nil"/>
              <w:bottom w:val="single" w:color="000000" w:sz="4" w:space="0"/>
              <w:right w:val="single" w:color="000000" w:sz="4" w:space="0"/>
            </w:tcBorders>
            <w:vAlign w:val="center"/>
          </w:tcPr>
          <w:p w14:paraId="0E1E77F5">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多功能电力仪表</w:t>
            </w:r>
          </w:p>
        </w:tc>
        <w:tc>
          <w:tcPr>
            <w:tcW w:w="3260" w:type="dxa"/>
            <w:tcBorders>
              <w:top w:val="nil"/>
              <w:left w:val="nil"/>
              <w:bottom w:val="single" w:color="000000" w:sz="4" w:space="0"/>
              <w:right w:val="single" w:color="000000" w:sz="4" w:space="0"/>
            </w:tcBorders>
            <w:vAlign w:val="center"/>
          </w:tcPr>
          <w:p w14:paraId="7A6F5B8F">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伊顿电力、上海安科瑞、北京德威特、许继、帝森南自</w:t>
            </w:r>
          </w:p>
        </w:tc>
        <w:tc>
          <w:tcPr>
            <w:tcW w:w="2783" w:type="dxa"/>
            <w:tcBorders>
              <w:top w:val="nil"/>
              <w:left w:val="nil"/>
              <w:bottom w:val="single" w:color="000000" w:sz="4" w:space="0"/>
              <w:right w:val="single" w:color="000000" w:sz="4" w:space="0"/>
            </w:tcBorders>
            <w:vAlign w:val="center"/>
          </w:tcPr>
          <w:p w14:paraId="3A7BE785">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国产一线</w:t>
            </w:r>
          </w:p>
        </w:tc>
      </w:tr>
      <w:tr w14:paraId="2B22F512">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771E5B8D">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w:t>
            </w:r>
          </w:p>
        </w:tc>
        <w:tc>
          <w:tcPr>
            <w:tcW w:w="1957" w:type="dxa"/>
            <w:tcBorders>
              <w:top w:val="nil"/>
              <w:left w:val="nil"/>
              <w:bottom w:val="single" w:color="000000" w:sz="4" w:space="0"/>
              <w:right w:val="single" w:color="000000" w:sz="4" w:space="0"/>
            </w:tcBorders>
            <w:vAlign w:val="center"/>
          </w:tcPr>
          <w:p w14:paraId="426C9EA1">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微机保护及智能操控装置</w:t>
            </w:r>
          </w:p>
        </w:tc>
        <w:tc>
          <w:tcPr>
            <w:tcW w:w="3260" w:type="dxa"/>
            <w:tcBorders>
              <w:top w:val="nil"/>
              <w:left w:val="nil"/>
              <w:bottom w:val="single" w:color="000000" w:sz="4" w:space="0"/>
              <w:right w:val="single" w:color="000000" w:sz="4" w:space="0"/>
            </w:tcBorders>
            <w:vAlign w:val="center"/>
          </w:tcPr>
          <w:p w14:paraId="5369CC1D">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威海锐恩、国电南瑞、上海安科瑞、许继、帝森南自</w:t>
            </w:r>
          </w:p>
        </w:tc>
        <w:tc>
          <w:tcPr>
            <w:tcW w:w="2783" w:type="dxa"/>
            <w:tcBorders>
              <w:top w:val="nil"/>
              <w:left w:val="nil"/>
              <w:bottom w:val="single" w:color="000000" w:sz="4" w:space="0"/>
              <w:right w:val="single" w:color="000000" w:sz="4" w:space="0"/>
            </w:tcBorders>
            <w:vAlign w:val="center"/>
          </w:tcPr>
          <w:p w14:paraId="69CABC14">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国产一线</w:t>
            </w:r>
          </w:p>
        </w:tc>
      </w:tr>
      <w:tr w14:paraId="2BC0862D">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100543CF">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w:t>
            </w:r>
          </w:p>
        </w:tc>
        <w:tc>
          <w:tcPr>
            <w:tcW w:w="1957" w:type="dxa"/>
            <w:tcBorders>
              <w:top w:val="nil"/>
              <w:left w:val="nil"/>
              <w:bottom w:val="single" w:color="000000" w:sz="4" w:space="0"/>
              <w:right w:val="single" w:color="000000" w:sz="4" w:space="0"/>
            </w:tcBorders>
            <w:vAlign w:val="center"/>
          </w:tcPr>
          <w:p w14:paraId="033F955B">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电压及电流互感器</w:t>
            </w:r>
          </w:p>
        </w:tc>
        <w:tc>
          <w:tcPr>
            <w:tcW w:w="3260" w:type="dxa"/>
            <w:tcBorders>
              <w:top w:val="nil"/>
              <w:left w:val="nil"/>
              <w:bottom w:val="single" w:color="000000" w:sz="4" w:space="0"/>
              <w:right w:val="single" w:color="000000" w:sz="4" w:space="0"/>
            </w:tcBorders>
            <w:noWrap/>
            <w:vAlign w:val="center"/>
          </w:tcPr>
          <w:p w14:paraId="50469E45">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大连北方、大连一互、大连二互</w:t>
            </w:r>
          </w:p>
        </w:tc>
        <w:tc>
          <w:tcPr>
            <w:tcW w:w="2783" w:type="dxa"/>
            <w:tcBorders>
              <w:top w:val="nil"/>
              <w:left w:val="nil"/>
              <w:bottom w:val="single" w:color="000000" w:sz="4" w:space="0"/>
              <w:right w:val="single" w:color="000000" w:sz="4" w:space="0"/>
            </w:tcBorders>
            <w:vAlign w:val="center"/>
          </w:tcPr>
          <w:p w14:paraId="7EEB44B4">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国产一线</w:t>
            </w:r>
          </w:p>
        </w:tc>
      </w:tr>
      <w:tr w14:paraId="658C98EB">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5741E51F">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w:t>
            </w:r>
          </w:p>
        </w:tc>
        <w:tc>
          <w:tcPr>
            <w:tcW w:w="1957" w:type="dxa"/>
            <w:tcBorders>
              <w:top w:val="nil"/>
              <w:left w:val="nil"/>
              <w:bottom w:val="single" w:color="000000" w:sz="4" w:space="0"/>
              <w:right w:val="single" w:color="000000" w:sz="4" w:space="0"/>
            </w:tcBorders>
            <w:vAlign w:val="center"/>
          </w:tcPr>
          <w:p w14:paraId="41E3E16C">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低压有源滤波、电容、电抗: </w:t>
            </w:r>
          </w:p>
        </w:tc>
        <w:tc>
          <w:tcPr>
            <w:tcW w:w="3260" w:type="dxa"/>
            <w:tcBorders>
              <w:top w:val="nil"/>
              <w:left w:val="nil"/>
              <w:bottom w:val="single" w:color="000000" w:sz="4" w:space="0"/>
              <w:right w:val="single" w:color="000000" w:sz="4" w:space="0"/>
            </w:tcBorders>
            <w:noWrap/>
            <w:vAlign w:val="center"/>
          </w:tcPr>
          <w:p w14:paraId="79726FCF">
            <w:pPr>
              <w:widowControl/>
              <w:jc w:val="left"/>
              <w:rPr>
                <w:rFonts w:hint="eastAsia" w:ascii="仿宋" w:hAnsi="仿宋" w:eastAsia="仿宋" w:cs="仿宋"/>
                <w:sz w:val="24"/>
                <w:szCs w:val="24"/>
                <w:highlight w:val="none"/>
              </w:rPr>
            </w:pPr>
            <w:r>
              <w:rPr>
                <w:rFonts w:hint="eastAsia" w:ascii="仿宋" w:hAnsi="仿宋" w:eastAsia="仿宋" w:cs="仿宋"/>
                <w:bCs/>
                <w:sz w:val="24"/>
                <w:szCs w:val="24"/>
                <w:highlight w:val="none"/>
              </w:rPr>
              <w:t>上海正尔、北京昊威尔、轶丝科那、浙江南德、莱提电气</w:t>
            </w:r>
          </w:p>
        </w:tc>
        <w:tc>
          <w:tcPr>
            <w:tcW w:w="2783" w:type="dxa"/>
            <w:tcBorders>
              <w:top w:val="nil"/>
              <w:left w:val="nil"/>
              <w:bottom w:val="single" w:color="000000" w:sz="4" w:space="0"/>
              <w:right w:val="single" w:color="000000" w:sz="4" w:space="0"/>
            </w:tcBorders>
            <w:vAlign w:val="center"/>
          </w:tcPr>
          <w:p w14:paraId="563F016C">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国产一线</w:t>
            </w:r>
          </w:p>
        </w:tc>
      </w:tr>
      <w:tr w14:paraId="5C345A0F">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0186BB4F">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w:t>
            </w:r>
          </w:p>
        </w:tc>
        <w:tc>
          <w:tcPr>
            <w:tcW w:w="1957" w:type="dxa"/>
            <w:tcBorders>
              <w:top w:val="nil"/>
              <w:left w:val="nil"/>
              <w:bottom w:val="single" w:color="000000" w:sz="4" w:space="0"/>
              <w:right w:val="single" w:color="000000" w:sz="4" w:space="0"/>
            </w:tcBorders>
            <w:vAlign w:val="center"/>
          </w:tcPr>
          <w:p w14:paraId="5B6BB22D">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火灾监控及主机</w:t>
            </w:r>
          </w:p>
        </w:tc>
        <w:tc>
          <w:tcPr>
            <w:tcW w:w="3260" w:type="dxa"/>
            <w:tcBorders>
              <w:top w:val="nil"/>
              <w:left w:val="nil"/>
              <w:bottom w:val="single" w:color="000000" w:sz="4" w:space="0"/>
              <w:right w:val="single" w:color="000000" w:sz="4" w:space="0"/>
            </w:tcBorders>
            <w:vAlign w:val="center"/>
          </w:tcPr>
          <w:p w14:paraId="07FAD710">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施耐德万高、上海安科瑞、北京利达、爱博精电</w:t>
            </w:r>
          </w:p>
        </w:tc>
        <w:tc>
          <w:tcPr>
            <w:tcW w:w="2783" w:type="dxa"/>
            <w:tcBorders>
              <w:top w:val="nil"/>
              <w:left w:val="nil"/>
              <w:bottom w:val="single" w:color="000000" w:sz="4" w:space="0"/>
              <w:right w:val="single" w:color="000000" w:sz="4" w:space="0"/>
            </w:tcBorders>
            <w:vAlign w:val="center"/>
          </w:tcPr>
          <w:p w14:paraId="609F5E12">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国产一线</w:t>
            </w:r>
          </w:p>
        </w:tc>
      </w:tr>
      <w:tr w14:paraId="13DC3E1A">
        <w:tblPrEx>
          <w:tblCellMar>
            <w:top w:w="0" w:type="dxa"/>
            <w:left w:w="108" w:type="dxa"/>
            <w:bottom w:w="0" w:type="dxa"/>
            <w:right w:w="108" w:type="dxa"/>
          </w:tblCellMar>
        </w:tblPrEx>
        <w:trPr>
          <w:trHeight w:val="567" w:hRule="atLeast"/>
          <w:jc w:val="center"/>
        </w:trPr>
        <w:tc>
          <w:tcPr>
            <w:tcW w:w="600" w:type="dxa"/>
            <w:tcBorders>
              <w:top w:val="nil"/>
              <w:left w:val="single" w:color="000000" w:sz="4" w:space="0"/>
              <w:bottom w:val="single" w:color="000000" w:sz="4" w:space="0"/>
              <w:right w:val="single" w:color="000000" w:sz="4" w:space="0"/>
            </w:tcBorders>
            <w:vAlign w:val="center"/>
          </w:tcPr>
          <w:p w14:paraId="22487E66">
            <w:pPr>
              <w:widowControl/>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10</w:t>
            </w:r>
          </w:p>
        </w:tc>
        <w:tc>
          <w:tcPr>
            <w:tcW w:w="1957" w:type="dxa"/>
            <w:tcBorders>
              <w:top w:val="nil"/>
              <w:left w:val="nil"/>
              <w:bottom w:val="single" w:color="000000" w:sz="4" w:space="0"/>
              <w:right w:val="single" w:color="000000" w:sz="4" w:space="0"/>
            </w:tcBorders>
            <w:vAlign w:val="center"/>
          </w:tcPr>
          <w:p w14:paraId="266CBF5A">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变频器</w:t>
            </w:r>
          </w:p>
        </w:tc>
        <w:tc>
          <w:tcPr>
            <w:tcW w:w="3260" w:type="dxa"/>
            <w:tcBorders>
              <w:top w:val="nil"/>
              <w:left w:val="nil"/>
              <w:bottom w:val="single" w:color="000000" w:sz="4" w:space="0"/>
              <w:right w:val="single" w:color="000000" w:sz="4" w:space="0"/>
            </w:tcBorders>
            <w:vAlign w:val="center"/>
          </w:tcPr>
          <w:p w14:paraId="563801F0">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施耐德、ABB</w:t>
            </w:r>
          </w:p>
        </w:tc>
        <w:tc>
          <w:tcPr>
            <w:tcW w:w="2783" w:type="dxa"/>
            <w:tcBorders>
              <w:top w:val="nil"/>
              <w:left w:val="nil"/>
              <w:bottom w:val="single" w:color="000000" w:sz="4" w:space="0"/>
              <w:right w:val="single" w:color="000000" w:sz="4" w:space="0"/>
            </w:tcBorders>
            <w:vAlign w:val="center"/>
          </w:tcPr>
          <w:p w14:paraId="6A6B70CE">
            <w:pPr>
              <w:widowControl/>
              <w:jc w:val="left"/>
              <w:rPr>
                <w:rFonts w:hint="eastAsia" w:ascii="仿宋" w:hAnsi="仿宋" w:eastAsia="仿宋" w:cs="仿宋"/>
                <w:sz w:val="24"/>
                <w:szCs w:val="24"/>
                <w:highlight w:val="none"/>
              </w:rPr>
            </w:pPr>
          </w:p>
        </w:tc>
      </w:tr>
      <w:tr w14:paraId="63B17537">
        <w:tblPrEx>
          <w:tblCellMar>
            <w:top w:w="0" w:type="dxa"/>
            <w:left w:w="108" w:type="dxa"/>
            <w:bottom w:w="0" w:type="dxa"/>
            <w:right w:w="108" w:type="dxa"/>
          </w:tblCellMar>
        </w:tblPrEx>
        <w:trPr>
          <w:trHeight w:val="1269" w:hRule="atLeast"/>
          <w:jc w:val="center"/>
        </w:trPr>
        <w:tc>
          <w:tcPr>
            <w:tcW w:w="8600" w:type="dxa"/>
            <w:gridSpan w:val="4"/>
            <w:tcBorders>
              <w:top w:val="single" w:color="000000" w:sz="4" w:space="0"/>
              <w:left w:val="single" w:color="000000" w:sz="4" w:space="0"/>
              <w:bottom w:val="single" w:color="000000" w:sz="4" w:space="0"/>
              <w:right w:val="single" w:color="000000" w:sz="4" w:space="0"/>
            </w:tcBorders>
          </w:tcPr>
          <w:p w14:paraId="1E7FCA9F">
            <w:pPr>
              <w:widowControl/>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备注：电力工程投标单位需提供投标选用元器件针对本项目设备采购供应商的授权文件扫描件，授权方必须是指定范围元器件生产厂家或其合法授权的经销商、代理商，项目授权方若为授权经销商、代理商的，需提供元器件生产厂家对经销商或代理商的项目授权书（或授权书复印件加盖公章）。</w:t>
            </w:r>
            <w:r>
              <w:rPr>
                <w:rFonts w:hint="eastAsia" w:ascii="仿宋" w:hAnsi="仿宋" w:eastAsia="仿宋" w:cs="仿宋"/>
                <w:sz w:val="24"/>
                <w:szCs w:val="24"/>
                <w:highlight w:val="none"/>
                <w:lang w:val="zh-CN"/>
              </w:rPr>
              <w:t>其他未尽事项，按照图纸设计，满足设计要求。</w:t>
            </w:r>
          </w:p>
        </w:tc>
      </w:tr>
    </w:tbl>
    <w:p w14:paraId="61291AB9">
      <w:pPr>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br w:type="page"/>
      </w:r>
    </w:p>
    <w:bookmarkEnd w:id="25"/>
    <w:bookmarkEnd w:id="26"/>
    <w:bookmarkEnd w:id="27"/>
    <w:p w14:paraId="32C56079">
      <w:pPr>
        <w:widowControl/>
        <w:autoSpaceDE w:val="0"/>
        <w:autoSpaceDN w:val="0"/>
        <w:adjustRightInd w:val="0"/>
        <w:spacing w:line="560" w:lineRule="exact"/>
        <w:rPr>
          <w:rStyle w:val="43"/>
          <w:rFonts w:cs="仿宋"/>
          <w:sz w:val="24"/>
          <w:szCs w:val="24"/>
          <w:highlight w:val="none"/>
        </w:rPr>
      </w:pPr>
      <w:bookmarkStart w:id="28" w:name="_Toc247527831"/>
      <w:bookmarkStart w:id="29" w:name="_Toc152045791"/>
      <w:bookmarkStart w:id="30" w:name="_Toc300835213"/>
      <w:bookmarkStart w:id="31" w:name="_Toc152042580"/>
      <w:bookmarkStart w:id="32" w:name="_Toc144974860"/>
      <w:bookmarkStart w:id="33" w:name="_Toc247514283"/>
      <w:r>
        <w:rPr>
          <w:rStyle w:val="43"/>
          <w:rFonts w:hint="eastAsia" w:cs="仿宋"/>
          <w:sz w:val="24"/>
          <w:szCs w:val="24"/>
          <w:highlight w:val="none"/>
        </w:rPr>
        <w:t xml:space="preserve">附件                          </w:t>
      </w:r>
    </w:p>
    <w:p w14:paraId="5EEE5294">
      <w:pPr>
        <w:spacing w:line="560" w:lineRule="exact"/>
        <w:jc w:val="center"/>
        <w:rPr>
          <w:rFonts w:ascii="仿宋" w:hAnsi="仿宋" w:eastAsia="仿宋" w:cs="仿宋"/>
          <w:sz w:val="28"/>
          <w:szCs w:val="28"/>
          <w:highlight w:val="none"/>
        </w:rPr>
      </w:pPr>
      <w:r>
        <w:rPr>
          <w:rFonts w:hint="eastAsia" w:ascii="仿宋" w:hAnsi="仿宋" w:eastAsia="仿宋" w:cs="仿宋"/>
          <w:sz w:val="32"/>
          <w:szCs w:val="32"/>
          <w:highlight w:val="none"/>
        </w:rPr>
        <w:t>法定代表人身份证明</w:t>
      </w:r>
      <w:bookmarkEnd w:id="28"/>
      <w:bookmarkEnd w:id="29"/>
      <w:bookmarkEnd w:id="30"/>
      <w:bookmarkEnd w:id="31"/>
      <w:bookmarkEnd w:id="32"/>
      <w:bookmarkEnd w:id="33"/>
    </w:p>
    <w:p w14:paraId="50D1E496">
      <w:pPr>
        <w:spacing w:line="560" w:lineRule="exact"/>
        <w:rPr>
          <w:rFonts w:ascii="仿宋" w:hAnsi="仿宋" w:eastAsia="仿宋" w:cs="仿宋"/>
          <w:sz w:val="28"/>
          <w:szCs w:val="28"/>
          <w:highlight w:val="none"/>
        </w:rPr>
      </w:pPr>
    </w:p>
    <w:p w14:paraId="6059036B">
      <w:pPr>
        <w:spacing w:line="560" w:lineRule="exact"/>
        <w:rPr>
          <w:rStyle w:val="43"/>
          <w:sz w:val="28"/>
          <w:szCs w:val="28"/>
          <w:highlight w:val="none"/>
          <w:u w:val="single"/>
        </w:rPr>
      </w:pPr>
      <w:r>
        <w:rPr>
          <w:rFonts w:hint="eastAsia" w:ascii="仿宋" w:hAnsi="仿宋" w:eastAsia="仿宋" w:cs="仿宋"/>
          <w:sz w:val="28"/>
          <w:szCs w:val="28"/>
          <w:highlight w:val="none"/>
        </w:rPr>
        <w:t>供应商名称：</w:t>
      </w:r>
    </w:p>
    <w:p w14:paraId="3822CAE2">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单位性质：</w:t>
      </w:r>
    </w:p>
    <w:p w14:paraId="4BA99F1C">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地址：</w:t>
      </w:r>
    </w:p>
    <w:p w14:paraId="63D77336">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成立时间：年月日</w:t>
      </w:r>
    </w:p>
    <w:p w14:paraId="36C71851">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经营期限：</w:t>
      </w:r>
    </w:p>
    <w:p w14:paraId="21FE5F5D">
      <w:pPr>
        <w:spacing w:line="560" w:lineRule="exact"/>
        <w:rPr>
          <w:rFonts w:ascii="仿宋" w:hAnsi="仿宋" w:eastAsia="仿宋" w:cs="仿宋"/>
          <w:sz w:val="28"/>
          <w:szCs w:val="28"/>
          <w:highlight w:val="none"/>
        </w:rPr>
      </w:pPr>
    </w:p>
    <w:p w14:paraId="5CE9E6FD">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姓名：性别：年龄：职务：</w:t>
      </w:r>
    </w:p>
    <w:p w14:paraId="57815715">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系</w:t>
      </w:r>
      <w:r>
        <w:rPr>
          <w:rFonts w:hint="eastAsia" w:ascii="仿宋" w:hAnsi="仿宋" w:eastAsia="仿宋" w:cs="仿宋"/>
          <w:sz w:val="28"/>
          <w:szCs w:val="28"/>
          <w:highlight w:val="none"/>
          <w:u w:val="single"/>
        </w:rPr>
        <w:t>（供应商名称）</w:t>
      </w:r>
      <w:r>
        <w:rPr>
          <w:rFonts w:hint="eastAsia" w:ascii="仿宋" w:hAnsi="仿宋" w:eastAsia="仿宋" w:cs="仿宋"/>
          <w:sz w:val="28"/>
          <w:szCs w:val="28"/>
          <w:highlight w:val="none"/>
        </w:rPr>
        <w:t>的法定代表人。</w:t>
      </w:r>
    </w:p>
    <w:p w14:paraId="40A8D791">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14:paraId="139D2467">
      <w:pPr>
        <w:spacing w:line="560" w:lineRule="exact"/>
        <w:rPr>
          <w:rFonts w:ascii="仿宋" w:hAnsi="仿宋" w:eastAsia="仿宋" w:cs="仿宋"/>
          <w:sz w:val="28"/>
          <w:szCs w:val="28"/>
          <w:highlight w:val="none"/>
        </w:rPr>
      </w:pPr>
    </w:p>
    <w:p w14:paraId="0B804612">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14:paraId="7AF0A5AA">
      <w:pPr>
        <w:spacing w:line="560" w:lineRule="exact"/>
        <w:rPr>
          <w:rFonts w:ascii="仿宋" w:hAnsi="仿宋" w:eastAsia="仿宋" w:cs="仿宋"/>
          <w:sz w:val="28"/>
          <w:szCs w:val="28"/>
          <w:highlight w:val="none"/>
        </w:rPr>
      </w:pPr>
    </w:p>
    <w:p w14:paraId="3527C965">
      <w:pPr>
        <w:spacing w:line="560" w:lineRule="exact"/>
        <w:rPr>
          <w:rFonts w:ascii="仿宋" w:hAnsi="仿宋" w:eastAsia="仿宋" w:cs="仿宋"/>
          <w:sz w:val="28"/>
          <w:szCs w:val="28"/>
          <w:highlight w:val="none"/>
        </w:rPr>
      </w:pPr>
    </w:p>
    <w:p w14:paraId="6EE0B781">
      <w:pPr>
        <w:spacing w:line="560" w:lineRule="exact"/>
        <w:rPr>
          <w:rFonts w:ascii="仿宋" w:hAnsi="仿宋" w:eastAsia="仿宋" w:cs="仿宋"/>
          <w:sz w:val="28"/>
          <w:szCs w:val="28"/>
          <w:highlight w:val="none"/>
        </w:rPr>
      </w:pPr>
    </w:p>
    <w:p w14:paraId="2F7BDE0D">
      <w:pPr>
        <w:spacing w:line="560" w:lineRule="exact"/>
        <w:rPr>
          <w:rFonts w:ascii="仿宋" w:hAnsi="仿宋" w:eastAsia="仿宋" w:cs="仿宋"/>
          <w:sz w:val="28"/>
          <w:szCs w:val="28"/>
          <w:highlight w:val="none"/>
        </w:rPr>
      </w:pPr>
    </w:p>
    <w:p w14:paraId="1EAC3FA1">
      <w:pPr>
        <w:spacing w:line="560" w:lineRule="exact"/>
        <w:rPr>
          <w:rFonts w:ascii="仿宋" w:hAnsi="仿宋" w:eastAsia="仿宋" w:cs="仿宋"/>
          <w:sz w:val="28"/>
          <w:szCs w:val="28"/>
          <w:highlight w:val="none"/>
        </w:rPr>
      </w:pPr>
    </w:p>
    <w:p w14:paraId="7BB629E0">
      <w:pPr>
        <w:spacing w:line="560" w:lineRule="exact"/>
        <w:rPr>
          <w:rFonts w:ascii="仿宋" w:hAnsi="仿宋" w:eastAsia="仿宋" w:cs="仿宋"/>
          <w:sz w:val="28"/>
          <w:szCs w:val="28"/>
          <w:highlight w:val="none"/>
        </w:rPr>
      </w:pPr>
    </w:p>
    <w:p w14:paraId="4FA5797C">
      <w:pPr>
        <w:spacing w:line="56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（公章） </w:t>
      </w:r>
      <w:r>
        <w:rPr>
          <w:rFonts w:hint="eastAsia" w:ascii="仿宋" w:hAnsi="仿宋" w:eastAsia="仿宋" w:cs="仿宋"/>
          <w:sz w:val="28"/>
          <w:szCs w:val="28"/>
          <w:highlight w:val="none"/>
          <w:u w:val="single"/>
        </w:rPr>
        <w:t xml:space="preserve">      </w:t>
      </w:r>
    </w:p>
    <w:p w14:paraId="204A22FD">
      <w:pPr>
        <w:spacing w:line="56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 xml:space="preserve">年  月  日           </w:t>
      </w:r>
    </w:p>
    <w:p w14:paraId="1DB9269A">
      <w:pPr>
        <w:widowControl/>
        <w:autoSpaceDE w:val="0"/>
        <w:autoSpaceDN w:val="0"/>
        <w:adjustRightInd w:val="0"/>
        <w:spacing w:line="560" w:lineRule="exact"/>
        <w:rPr>
          <w:rStyle w:val="43"/>
          <w:rFonts w:cs="仿宋"/>
          <w:sz w:val="24"/>
          <w:szCs w:val="24"/>
          <w:highlight w:val="none"/>
        </w:rPr>
      </w:pPr>
      <w:r>
        <w:rPr>
          <w:rStyle w:val="43"/>
          <w:rFonts w:hint="eastAsia" w:cs="仿宋"/>
          <w:sz w:val="24"/>
          <w:szCs w:val="24"/>
          <w:highlight w:val="none"/>
        </w:rPr>
        <w:br w:type="page"/>
      </w:r>
      <w:r>
        <w:rPr>
          <w:rStyle w:val="43"/>
          <w:rFonts w:hint="eastAsia" w:cs="仿宋"/>
          <w:sz w:val="24"/>
          <w:szCs w:val="24"/>
          <w:highlight w:val="none"/>
        </w:rPr>
        <w:t xml:space="preserve">附件    </w:t>
      </w:r>
    </w:p>
    <w:p w14:paraId="283EA94B">
      <w:pPr>
        <w:spacing w:line="560" w:lineRule="exact"/>
        <w:jc w:val="center"/>
        <w:rPr>
          <w:rFonts w:ascii="仿宋" w:hAnsi="仿宋" w:eastAsia="仿宋" w:cs="仿宋"/>
          <w:sz w:val="32"/>
          <w:szCs w:val="32"/>
          <w:highlight w:val="none"/>
        </w:rPr>
      </w:pPr>
      <w:r>
        <w:rPr>
          <w:rFonts w:hint="eastAsia" w:ascii="仿宋" w:hAnsi="仿宋" w:eastAsia="仿宋" w:cs="仿宋"/>
          <w:sz w:val="32"/>
          <w:szCs w:val="32"/>
          <w:highlight w:val="none"/>
        </w:rPr>
        <w:t>法定代表人授权委托书</w:t>
      </w:r>
    </w:p>
    <w:p w14:paraId="37098CAA">
      <w:pPr>
        <w:widowControl/>
        <w:autoSpaceDE w:val="0"/>
        <w:autoSpaceDN w:val="0"/>
        <w:adjustRightInd w:val="0"/>
        <w:spacing w:line="560" w:lineRule="exact"/>
        <w:rPr>
          <w:rFonts w:ascii="仿宋" w:hAnsi="仿宋" w:eastAsia="仿宋" w:cs="仿宋"/>
          <w:kern w:val="1"/>
          <w:sz w:val="28"/>
          <w:szCs w:val="28"/>
          <w:highlight w:val="none"/>
        </w:rPr>
      </w:pPr>
    </w:p>
    <w:p w14:paraId="60CD8776">
      <w:pPr>
        <w:widowControl/>
        <w:autoSpaceDE w:val="0"/>
        <w:autoSpaceDN w:val="0"/>
        <w:adjustRightInd w:val="0"/>
        <w:spacing w:line="560" w:lineRule="exact"/>
        <w:rPr>
          <w:rFonts w:ascii="仿宋" w:hAnsi="仿宋" w:eastAsia="仿宋" w:cs="仿宋"/>
          <w:kern w:val="1"/>
          <w:sz w:val="28"/>
          <w:szCs w:val="28"/>
          <w:highlight w:val="none"/>
        </w:rPr>
      </w:pPr>
      <w:r>
        <w:rPr>
          <w:rFonts w:hint="eastAsia" w:ascii="仿宋" w:hAnsi="仿宋" w:eastAsia="仿宋" w:cs="仿宋"/>
          <w:kern w:val="1"/>
          <w:sz w:val="28"/>
          <w:szCs w:val="28"/>
          <w:highlight w:val="none"/>
          <w:u w:val="single"/>
        </w:rPr>
        <w:t xml:space="preserve">   （采购人）  </w:t>
      </w:r>
      <w:r>
        <w:rPr>
          <w:rStyle w:val="43"/>
          <w:rFonts w:hint="eastAsia" w:cs="仿宋"/>
          <w:sz w:val="28"/>
          <w:szCs w:val="28"/>
          <w:highlight w:val="none"/>
        </w:rPr>
        <w:t>：</w:t>
      </w:r>
    </w:p>
    <w:p w14:paraId="172C6809">
      <w:pPr>
        <w:widowControl/>
        <w:autoSpaceDE w:val="0"/>
        <w:autoSpaceDN w:val="0"/>
        <w:adjustRightInd w:val="0"/>
        <w:spacing w:line="560" w:lineRule="exact"/>
        <w:ind w:firstLine="480"/>
        <w:rPr>
          <w:rFonts w:ascii="仿宋" w:hAnsi="仿宋" w:eastAsia="仿宋" w:cs="仿宋"/>
          <w:kern w:val="1"/>
          <w:sz w:val="28"/>
          <w:szCs w:val="28"/>
          <w:highlight w:val="none"/>
        </w:rPr>
      </w:pPr>
      <w:r>
        <w:rPr>
          <w:rStyle w:val="43"/>
          <w:rFonts w:hint="eastAsia" w:cs="仿宋"/>
          <w:sz w:val="28"/>
          <w:szCs w:val="28"/>
          <w:highlight w:val="none"/>
        </w:rPr>
        <w:t>我</w:t>
      </w:r>
      <w:r>
        <w:rPr>
          <w:rFonts w:hint="eastAsia" w:ascii="仿宋" w:hAnsi="仿宋" w:eastAsia="仿宋" w:cs="仿宋"/>
          <w:kern w:val="1"/>
          <w:sz w:val="28"/>
          <w:szCs w:val="28"/>
          <w:highlight w:val="none"/>
          <w:u w:val="single"/>
        </w:rPr>
        <w:t xml:space="preserve">   （姓名） </w:t>
      </w:r>
      <w:r>
        <w:rPr>
          <w:rStyle w:val="43"/>
          <w:rFonts w:hint="eastAsia" w:cs="仿宋"/>
          <w:sz w:val="28"/>
          <w:szCs w:val="28"/>
          <w:highlight w:val="none"/>
        </w:rPr>
        <w:t>系</w:t>
      </w:r>
      <w:r>
        <w:rPr>
          <w:rFonts w:hint="eastAsia" w:ascii="仿宋" w:hAnsi="仿宋" w:eastAsia="仿宋" w:cs="仿宋"/>
          <w:kern w:val="1"/>
          <w:sz w:val="28"/>
          <w:szCs w:val="28"/>
          <w:highlight w:val="none"/>
          <w:u w:val="single"/>
        </w:rPr>
        <w:t xml:space="preserve">    （供应商名称）</w:t>
      </w:r>
      <w:r>
        <w:rPr>
          <w:rStyle w:val="43"/>
          <w:rFonts w:hint="eastAsia" w:cs="仿宋"/>
          <w:sz w:val="28"/>
          <w:szCs w:val="28"/>
          <w:highlight w:val="none"/>
        </w:rPr>
        <w:t>法定代表人，现授权委托我公司的</w:t>
      </w:r>
      <w:r>
        <w:rPr>
          <w:rFonts w:hint="eastAsia" w:ascii="仿宋" w:hAnsi="仿宋" w:eastAsia="仿宋" w:cs="仿宋"/>
          <w:kern w:val="1"/>
          <w:sz w:val="28"/>
          <w:szCs w:val="28"/>
          <w:highlight w:val="none"/>
          <w:u w:val="single"/>
        </w:rPr>
        <w:t xml:space="preserve">  （姓名、职务或者职称）</w:t>
      </w:r>
      <w:r>
        <w:rPr>
          <w:rStyle w:val="43"/>
          <w:rFonts w:hint="eastAsia" w:cs="仿宋"/>
          <w:sz w:val="28"/>
          <w:szCs w:val="28"/>
          <w:highlight w:val="none"/>
        </w:rPr>
        <w:t>为我公司本次项目的授权代表，代表我方办理本次报价、签约等相关事宜，签署全部有关的文件、协议、合同并具有法律效力。</w:t>
      </w:r>
    </w:p>
    <w:p w14:paraId="78B8D08A">
      <w:pPr>
        <w:widowControl/>
        <w:autoSpaceDE w:val="0"/>
        <w:autoSpaceDN w:val="0"/>
        <w:adjustRightInd w:val="0"/>
        <w:spacing w:line="560" w:lineRule="exact"/>
        <w:ind w:firstLine="480"/>
        <w:rPr>
          <w:rStyle w:val="43"/>
          <w:rFonts w:cs="仿宋"/>
          <w:sz w:val="28"/>
          <w:szCs w:val="28"/>
          <w:highlight w:val="none"/>
        </w:rPr>
      </w:pPr>
      <w:r>
        <w:rPr>
          <w:rStyle w:val="43"/>
          <w:rFonts w:hint="eastAsia" w:cs="仿宋"/>
          <w:sz w:val="28"/>
          <w:szCs w:val="28"/>
          <w:highlight w:val="none"/>
        </w:rPr>
        <w:t>在我方未发出撤销授权委托书的书面通知以前，本授权委托书一直有效。被授权人签署的所有文件（在授权书有效期内签署的）不因授权撤销而失效。</w:t>
      </w:r>
    </w:p>
    <w:p w14:paraId="388194BC">
      <w:pPr>
        <w:widowControl/>
        <w:autoSpaceDE w:val="0"/>
        <w:autoSpaceDN w:val="0"/>
        <w:adjustRightInd w:val="0"/>
        <w:spacing w:line="560" w:lineRule="exact"/>
        <w:ind w:firstLine="480"/>
        <w:rPr>
          <w:rStyle w:val="43"/>
          <w:rFonts w:cs="仿宋"/>
          <w:sz w:val="28"/>
          <w:szCs w:val="28"/>
          <w:highlight w:val="none"/>
        </w:rPr>
      </w:pPr>
      <w:r>
        <w:rPr>
          <w:rStyle w:val="43"/>
          <w:rFonts w:hint="eastAsia" w:cs="仿宋"/>
          <w:sz w:val="28"/>
          <w:szCs w:val="28"/>
          <w:highlight w:val="none"/>
        </w:rPr>
        <w:t>被授权代表无权转让委托权。特此授权。</w:t>
      </w:r>
    </w:p>
    <w:p w14:paraId="7D6D4998">
      <w:pPr>
        <w:widowControl/>
        <w:autoSpaceDE w:val="0"/>
        <w:autoSpaceDN w:val="0"/>
        <w:adjustRightInd w:val="0"/>
        <w:spacing w:line="560" w:lineRule="exact"/>
        <w:ind w:firstLine="480"/>
        <w:rPr>
          <w:rFonts w:ascii="仿宋" w:hAnsi="仿宋" w:eastAsia="仿宋" w:cs="仿宋"/>
          <w:kern w:val="1"/>
          <w:sz w:val="28"/>
          <w:szCs w:val="28"/>
          <w:highlight w:val="none"/>
        </w:rPr>
      </w:pPr>
      <w:r>
        <w:rPr>
          <w:rStyle w:val="43"/>
          <w:rFonts w:hint="eastAsia" w:cs="仿宋"/>
          <w:sz w:val="28"/>
          <w:szCs w:val="28"/>
          <w:highlight w:val="none"/>
        </w:rPr>
        <w:t>本授权委托书于</w:t>
      </w:r>
      <w:r>
        <w:rPr>
          <w:rStyle w:val="43"/>
          <w:rFonts w:hint="eastAsia" w:cs="仿宋"/>
          <w:sz w:val="28"/>
          <w:szCs w:val="28"/>
          <w:highlight w:val="none"/>
          <w:u w:val="single"/>
        </w:rPr>
        <w:t xml:space="preserve">    </w:t>
      </w:r>
      <w:r>
        <w:rPr>
          <w:rStyle w:val="43"/>
          <w:rFonts w:hint="eastAsia" w:cs="仿宋"/>
          <w:sz w:val="28"/>
          <w:szCs w:val="28"/>
          <w:highlight w:val="none"/>
        </w:rPr>
        <w:t>年</w:t>
      </w:r>
      <w:r>
        <w:rPr>
          <w:rStyle w:val="43"/>
          <w:rFonts w:hint="eastAsia" w:cs="仿宋"/>
          <w:sz w:val="28"/>
          <w:szCs w:val="28"/>
          <w:highlight w:val="none"/>
          <w:u w:val="single"/>
        </w:rPr>
        <w:t xml:space="preserve">     </w:t>
      </w:r>
      <w:r>
        <w:rPr>
          <w:rStyle w:val="43"/>
          <w:rFonts w:hint="eastAsia" w:cs="仿宋"/>
          <w:sz w:val="28"/>
          <w:szCs w:val="28"/>
          <w:highlight w:val="none"/>
        </w:rPr>
        <w:t>月</w:t>
      </w:r>
      <w:r>
        <w:rPr>
          <w:rStyle w:val="43"/>
          <w:rFonts w:hint="eastAsia" w:cs="仿宋"/>
          <w:sz w:val="28"/>
          <w:szCs w:val="28"/>
          <w:highlight w:val="none"/>
          <w:u w:val="single"/>
        </w:rPr>
        <w:t xml:space="preserve">      </w:t>
      </w:r>
      <w:r>
        <w:rPr>
          <w:rStyle w:val="43"/>
          <w:rFonts w:hint="eastAsia" w:cs="仿宋"/>
          <w:sz w:val="28"/>
          <w:szCs w:val="28"/>
          <w:highlight w:val="none"/>
        </w:rPr>
        <w:t>日起签字生效,特此声明。</w:t>
      </w:r>
    </w:p>
    <w:p w14:paraId="11B4235B">
      <w:pPr>
        <w:widowControl/>
        <w:autoSpaceDE w:val="0"/>
        <w:autoSpaceDN w:val="0"/>
        <w:adjustRightInd w:val="0"/>
        <w:spacing w:line="560" w:lineRule="exact"/>
        <w:rPr>
          <w:rFonts w:ascii="仿宋" w:hAnsi="仿宋" w:eastAsia="仿宋" w:cs="仿宋"/>
          <w:kern w:val="1"/>
          <w:sz w:val="28"/>
          <w:szCs w:val="28"/>
          <w:highlight w:val="none"/>
        </w:rPr>
      </w:pPr>
      <w:r>
        <w:rPr>
          <w:rFonts w:hint="eastAsia" w:ascii="仿宋" w:hAnsi="仿宋" w:eastAsia="仿宋" w:cs="仿宋"/>
          <w:kern w:val="1"/>
          <w:sz w:val="28"/>
          <w:szCs w:val="28"/>
          <w:highlight w:val="none"/>
        </w:rPr>
        <w:t xml:space="preserve"> </w:t>
      </w:r>
    </w:p>
    <w:p w14:paraId="5B796069">
      <w:pPr>
        <w:widowControl/>
        <w:autoSpaceDE w:val="0"/>
        <w:autoSpaceDN w:val="0"/>
        <w:adjustRightInd w:val="0"/>
        <w:spacing w:line="560" w:lineRule="exact"/>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t>(附法人代表身份证以及被授权代表身份证复印件)</w:t>
      </w:r>
    </w:p>
    <w:p w14:paraId="20B66FE4">
      <w:pPr>
        <w:widowControl/>
        <w:autoSpaceDE w:val="0"/>
        <w:autoSpaceDN w:val="0"/>
        <w:adjustRightInd w:val="0"/>
        <w:spacing w:line="560" w:lineRule="exact"/>
        <w:jc w:val="center"/>
        <w:rPr>
          <w:rFonts w:ascii="仿宋" w:hAnsi="仿宋" w:eastAsia="仿宋" w:cs="仿宋"/>
          <w:kern w:val="1"/>
          <w:sz w:val="28"/>
          <w:szCs w:val="28"/>
          <w:highlight w:val="none"/>
        </w:rPr>
      </w:pPr>
    </w:p>
    <w:p w14:paraId="2F287C8D">
      <w:pPr>
        <w:widowControl/>
        <w:autoSpaceDE w:val="0"/>
        <w:autoSpaceDN w:val="0"/>
        <w:adjustRightInd w:val="0"/>
        <w:spacing w:line="560" w:lineRule="exact"/>
        <w:jc w:val="center"/>
        <w:rPr>
          <w:rFonts w:ascii="仿宋" w:hAnsi="仿宋" w:eastAsia="仿宋" w:cs="仿宋"/>
          <w:kern w:val="1"/>
          <w:sz w:val="28"/>
          <w:szCs w:val="28"/>
          <w:highlight w:val="none"/>
        </w:rPr>
      </w:pPr>
    </w:p>
    <w:p w14:paraId="0467801B">
      <w:pPr>
        <w:widowControl/>
        <w:autoSpaceDE w:val="0"/>
        <w:autoSpaceDN w:val="0"/>
        <w:adjustRightInd w:val="0"/>
        <w:spacing w:line="560" w:lineRule="exact"/>
        <w:rPr>
          <w:rStyle w:val="43"/>
          <w:rFonts w:cs="仿宋"/>
          <w:sz w:val="28"/>
          <w:szCs w:val="28"/>
          <w:highlight w:val="none"/>
          <w:u w:val="single"/>
        </w:rPr>
      </w:pPr>
      <w:r>
        <w:rPr>
          <w:rStyle w:val="43"/>
          <w:rFonts w:hint="eastAsia" w:cs="仿宋"/>
          <w:sz w:val="28"/>
          <w:szCs w:val="28"/>
          <w:highlight w:val="none"/>
        </w:rPr>
        <w:t>被授权代表姓名：       性 别：     年 龄：</w:t>
      </w:r>
    </w:p>
    <w:p w14:paraId="030E2750">
      <w:pPr>
        <w:widowControl/>
        <w:autoSpaceDE w:val="0"/>
        <w:autoSpaceDN w:val="0"/>
        <w:adjustRightInd w:val="0"/>
        <w:spacing w:line="560" w:lineRule="exact"/>
        <w:rPr>
          <w:rStyle w:val="43"/>
          <w:rFonts w:cs="仿宋"/>
          <w:sz w:val="28"/>
          <w:szCs w:val="28"/>
          <w:highlight w:val="none"/>
          <w:u w:val="single"/>
        </w:rPr>
      </w:pPr>
      <w:r>
        <w:rPr>
          <w:rStyle w:val="43"/>
          <w:rFonts w:hint="eastAsia" w:cs="仿宋"/>
          <w:sz w:val="28"/>
          <w:szCs w:val="28"/>
          <w:highlight w:val="none"/>
        </w:rPr>
        <w:t>单  位：                     部 门：     职 务：</w:t>
      </w:r>
    </w:p>
    <w:p w14:paraId="3807A068">
      <w:pPr>
        <w:widowControl/>
        <w:autoSpaceDE w:val="0"/>
        <w:autoSpaceDN w:val="0"/>
        <w:adjustRightInd w:val="0"/>
        <w:spacing w:line="560" w:lineRule="exact"/>
        <w:rPr>
          <w:rFonts w:ascii="仿宋" w:hAnsi="仿宋" w:eastAsia="仿宋" w:cs="仿宋"/>
          <w:kern w:val="1"/>
          <w:sz w:val="28"/>
          <w:szCs w:val="28"/>
          <w:highlight w:val="none"/>
        </w:rPr>
      </w:pPr>
    </w:p>
    <w:p w14:paraId="5158765A">
      <w:pPr>
        <w:widowControl/>
        <w:autoSpaceDE w:val="0"/>
        <w:autoSpaceDN w:val="0"/>
        <w:adjustRightInd w:val="0"/>
        <w:spacing w:line="560" w:lineRule="exact"/>
        <w:ind w:firstLine="4200" w:firstLineChars="1500"/>
        <w:rPr>
          <w:rStyle w:val="43"/>
          <w:rFonts w:cs="仿宋"/>
          <w:sz w:val="28"/>
          <w:szCs w:val="28"/>
          <w:highlight w:val="none"/>
          <w:u w:val="single"/>
        </w:rPr>
      </w:pPr>
      <w:r>
        <w:rPr>
          <w:rStyle w:val="43"/>
          <w:rFonts w:hint="eastAsia" w:cs="仿宋"/>
          <w:sz w:val="28"/>
          <w:szCs w:val="28"/>
          <w:highlight w:val="none"/>
        </w:rPr>
        <w:t>供应商（公章）：</w:t>
      </w:r>
    </w:p>
    <w:p w14:paraId="0FE784A3">
      <w:pPr>
        <w:widowControl/>
        <w:autoSpaceDE w:val="0"/>
        <w:autoSpaceDN w:val="0"/>
        <w:adjustRightInd w:val="0"/>
        <w:spacing w:line="560" w:lineRule="exact"/>
        <w:ind w:firstLine="4200" w:firstLineChars="1500"/>
        <w:rPr>
          <w:rStyle w:val="43"/>
          <w:rFonts w:cs="仿宋"/>
          <w:sz w:val="28"/>
          <w:szCs w:val="28"/>
          <w:highlight w:val="none"/>
          <w:u w:val="single"/>
        </w:rPr>
      </w:pPr>
      <w:r>
        <w:rPr>
          <w:rStyle w:val="43"/>
          <w:rFonts w:hint="eastAsia" w:cs="仿宋"/>
          <w:sz w:val="28"/>
          <w:szCs w:val="28"/>
          <w:highlight w:val="none"/>
        </w:rPr>
        <w:t>法定代表人（签字）：</w:t>
      </w:r>
    </w:p>
    <w:p w14:paraId="503196F1">
      <w:pPr>
        <w:widowControl/>
        <w:autoSpaceDE w:val="0"/>
        <w:autoSpaceDN w:val="0"/>
        <w:adjustRightInd w:val="0"/>
        <w:spacing w:line="560" w:lineRule="exact"/>
        <w:ind w:firstLine="4200" w:firstLineChars="1500"/>
        <w:rPr>
          <w:rStyle w:val="43"/>
          <w:rFonts w:cs="仿宋"/>
          <w:sz w:val="28"/>
          <w:szCs w:val="28"/>
          <w:highlight w:val="none"/>
        </w:rPr>
      </w:pPr>
      <w:r>
        <w:rPr>
          <w:rStyle w:val="43"/>
          <w:rFonts w:hint="eastAsia" w:cs="仿宋"/>
          <w:sz w:val="28"/>
          <w:szCs w:val="28"/>
          <w:highlight w:val="none"/>
        </w:rPr>
        <w:t>日 期：      年   月   日</w:t>
      </w:r>
    </w:p>
    <w:p w14:paraId="0FE986F5">
      <w:pPr>
        <w:widowControl/>
        <w:autoSpaceDE w:val="0"/>
        <w:autoSpaceDN w:val="0"/>
        <w:adjustRightInd w:val="0"/>
        <w:spacing w:line="560" w:lineRule="exact"/>
        <w:rPr>
          <w:rFonts w:ascii="仿宋" w:hAnsi="仿宋" w:eastAsia="仿宋" w:cs="仿宋"/>
          <w:szCs w:val="21"/>
          <w:highlight w:val="none"/>
        </w:rPr>
      </w:pPr>
      <w:bookmarkStart w:id="34" w:name="_GoBack"/>
      <w:bookmarkEnd w:id="34"/>
    </w:p>
    <w:sectPr>
      <w:footerReference r:id="rId6"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8A052">
    <w:pPr>
      <w:pStyle w:val="1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4</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F7336">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56312">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32</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1F031">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zhjMGRlZjUxYzk1MDA0ZTMwMTBlZmEyMTI1NDc1ZWMifQ=="/>
  </w:docVars>
  <w:rsids>
    <w:rsidRoot w:val="002A068C"/>
    <w:rsid w:val="00000A24"/>
    <w:rsid w:val="00004F4D"/>
    <w:rsid w:val="00011784"/>
    <w:rsid w:val="0001263A"/>
    <w:rsid w:val="0001346E"/>
    <w:rsid w:val="000153E7"/>
    <w:rsid w:val="00015B21"/>
    <w:rsid w:val="00022A4A"/>
    <w:rsid w:val="00022F25"/>
    <w:rsid w:val="000277AD"/>
    <w:rsid w:val="00027C90"/>
    <w:rsid w:val="00034050"/>
    <w:rsid w:val="000367E1"/>
    <w:rsid w:val="00043B5D"/>
    <w:rsid w:val="0004725B"/>
    <w:rsid w:val="000526A9"/>
    <w:rsid w:val="00053B19"/>
    <w:rsid w:val="00053DEA"/>
    <w:rsid w:val="000545F4"/>
    <w:rsid w:val="00054E4D"/>
    <w:rsid w:val="00057D5B"/>
    <w:rsid w:val="00072639"/>
    <w:rsid w:val="00072925"/>
    <w:rsid w:val="00075401"/>
    <w:rsid w:val="00081413"/>
    <w:rsid w:val="000838DA"/>
    <w:rsid w:val="00083915"/>
    <w:rsid w:val="0008678E"/>
    <w:rsid w:val="00091713"/>
    <w:rsid w:val="00093E7A"/>
    <w:rsid w:val="0009478B"/>
    <w:rsid w:val="00095E5A"/>
    <w:rsid w:val="000968D0"/>
    <w:rsid w:val="000A5498"/>
    <w:rsid w:val="000A5DA9"/>
    <w:rsid w:val="000A6840"/>
    <w:rsid w:val="000B6D30"/>
    <w:rsid w:val="000C1836"/>
    <w:rsid w:val="000C537E"/>
    <w:rsid w:val="000C70FF"/>
    <w:rsid w:val="000C7715"/>
    <w:rsid w:val="000D1DDD"/>
    <w:rsid w:val="000D5EC7"/>
    <w:rsid w:val="000E03B4"/>
    <w:rsid w:val="000E13F9"/>
    <w:rsid w:val="000E190C"/>
    <w:rsid w:val="000E3660"/>
    <w:rsid w:val="000E4C75"/>
    <w:rsid w:val="0010179C"/>
    <w:rsid w:val="00103A83"/>
    <w:rsid w:val="00115821"/>
    <w:rsid w:val="00116CDF"/>
    <w:rsid w:val="00123486"/>
    <w:rsid w:val="0012476C"/>
    <w:rsid w:val="00134134"/>
    <w:rsid w:val="001369C5"/>
    <w:rsid w:val="00136D33"/>
    <w:rsid w:val="0013735F"/>
    <w:rsid w:val="001404D8"/>
    <w:rsid w:val="0014169B"/>
    <w:rsid w:val="0014340A"/>
    <w:rsid w:val="00145072"/>
    <w:rsid w:val="001513D8"/>
    <w:rsid w:val="00152244"/>
    <w:rsid w:val="00152BDF"/>
    <w:rsid w:val="00154AF5"/>
    <w:rsid w:val="00155409"/>
    <w:rsid w:val="00164834"/>
    <w:rsid w:val="00170C48"/>
    <w:rsid w:val="00170FCC"/>
    <w:rsid w:val="00174687"/>
    <w:rsid w:val="00184478"/>
    <w:rsid w:val="00185BF5"/>
    <w:rsid w:val="00192766"/>
    <w:rsid w:val="00192C98"/>
    <w:rsid w:val="00196957"/>
    <w:rsid w:val="001A1A23"/>
    <w:rsid w:val="001A473A"/>
    <w:rsid w:val="001A5E8C"/>
    <w:rsid w:val="001B1D52"/>
    <w:rsid w:val="001B3C10"/>
    <w:rsid w:val="001B7DF1"/>
    <w:rsid w:val="001C0D47"/>
    <w:rsid w:val="001D0BCC"/>
    <w:rsid w:val="001D2BA7"/>
    <w:rsid w:val="001D5B64"/>
    <w:rsid w:val="001E1D37"/>
    <w:rsid w:val="001E26D1"/>
    <w:rsid w:val="001E4E81"/>
    <w:rsid w:val="001E5062"/>
    <w:rsid w:val="001E5D63"/>
    <w:rsid w:val="001E6C66"/>
    <w:rsid w:val="001E7665"/>
    <w:rsid w:val="001F25D4"/>
    <w:rsid w:val="001F3B6A"/>
    <w:rsid w:val="001F542A"/>
    <w:rsid w:val="001F764F"/>
    <w:rsid w:val="00202D04"/>
    <w:rsid w:val="002033EC"/>
    <w:rsid w:val="00205D69"/>
    <w:rsid w:val="002108AF"/>
    <w:rsid w:val="00220411"/>
    <w:rsid w:val="00220C0D"/>
    <w:rsid w:val="0022191D"/>
    <w:rsid w:val="0022306B"/>
    <w:rsid w:val="00223BD7"/>
    <w:rsid w:val="0022466F"/>
    <w:rsid w:val="00224AC5"/>
    <w:rsid w:val="00231A9A"/>
    <w:rsid w:val="00232E85"/>
    <w:rsid w:val="00233986"/>
    <w:rsid w:val="00237516"/>
    <w:rsid w:val="00237B4F"/>
    <w:rsid w:val="00242C3A"/>
    <w:rsid w:val="002553F5"/>
    <w:rsid w:val="002554CA"/>
    <w:rsid w:val="002618C8"/>
    <w:rsid w:val="00262280"/>
    <w:rsid w:val="00263EE8"/>
    <w:rsid w:val="00265392"/>
    <w:rsid w:val="00270CF8"/>
    <w:rsid w:val="00273059"/>
    <w:rsid w:val="00277738"/>
    <w:rsid w:val="00281A9B"/>
    <w:rsid w:val="00282C9B"/>
    <w:rsid w:val="00284883"/>
    <w:rsid w:val="002860EF"/>
    <w:rsid w:val="00286691"/>
    <w:rsid w:val="00286D81"/>
    <w:rsid w:val="002903EF"/>
    <w:rsid w:val="0029173B"/>
    <w:rsid w:val="00291E87"/>
    <w:rsid w:val="002930F7"/>
    <w:rsid w:val="00293F02"/>
    <w:rsid w:val="00294078"/>
    <w:rsid w:val="00294C06"/>
    <w:rsid w:val="0029592E"/>
    <w:rsid w:val="00295ABA"/>
    <w:rsid w:val="00297A80"/>
    <w:rsid w:val="002A068C"/>
    <w:rsid w:val="002A25C3"/>
    <w:rsid w:val="002A7D5B"/>
    <w:rsid w:val="002A7FBD"/>
    <w:rsid w:val="002B0D61"/>
    <w:rsid w:val="002B0E43"/>
    <w:rsid w:val="002B346F"/>
    <w:rsid w:val="002B5952"/>
    <w:rsid w:val="002B7D8D"/>
    <w:rsid w:val="002C6D83"/>
    <w:rsid w:val="002C72C0"/>
    <w:rsid w:val="002D09AD"/>
    <w:rsid w:val="002D0BA6"/>
    <w:rsid w:val="002D1D3F"/>
    <w:rsid w:val="002D3E5B"/>
    <w:rsid w:val="002E6073"/>
    <w:rsid w:val="002F33A1"/>
    <w:rsid w:val="002F4E52"/>
    <w:rsid w:val="00300FDD"/>
    <w:rsid w:val="00303E41"/>
    <w:rsid w:val="00310700"/>
    <w:rsid w:val="0031165D"/>
    <w:rsid w:val="00314984"/>
    <w:rsid w:val="00316770"/>
    <w:rsid w:val="00324EF3"/>
    <w:rsid w:val="00325BB2"/>
    <w:rsid w:val="0033014C"/>
    <w:rsid w:val="003305E1"/>
    <w:rsid w:val="00331890"/>
    <w:rsid w:val="00334F71"/>
    <w:rsid w:val="0033579B"/>
    <w:rsid w:val="00335CFE"/>
    <w:rsid w:val="00337677"/>
    <w:rsid w:val="0034100C"/>
    <w:rsid w:val="00342E79"/>
    <w:rsid w:val="00345F3C"/>
    <w:rsid w:val="00351413"/>
    <w:rsid w:val="0035573F"/>
    <w:rsid w:val="00355C82"/>
    <w:rsid w:val="0035663E"/>
    <w:rsid w:val="00360ACF"/>
    <w:rsid w:val="00362414"/>
    <w:rsid w:val="003635C1"/>
    <w:rsid w:val="00374513"/>
    <w:rsid w:val="003768AE"/>
    <w:rsid w:val="0039144B"/>
    <w:rsid w:val="003961B0"/>
    <w:rsid w:val="003A043D"/>
    <w:rsid w:val="003B0702"/>
    <w:rsid w:val="003B5CD9"/>
    <w:rsid w:val="003B6BF5"/>
    <w:rsid w:val="003C00FD"/>
    <w:rsid w:val="003C1CA6"/>
    <w:rsid w:val="003C3454"/>
    <w:rsid w:val="003D2EAD"/>
    <w:rsid w:val="003D3919"/>
    <w:rsid w:val="003D630F"/>
    <w:rsid w:val="003D76E8"/>
    <w:rsid w:val="003E1AB9"/>
    <w:rsid w:val="003E3685"/>
    <w:rsid w:val="003E4C8B"/>
    <w:rsid w:val="003F031B"/>
    <w:rsid w:val="003F231D"/>
    <w:rsid w:val="003F3402"/>
    <w:rsid w:val="003F4397"/>
    <w:rsid w:val="00400C78"/>
    <w:rsid w:val="00400F47"/>
    <w:rsid w:val="00402253"/>
    <w:rsid w:val="00404905"/>
    <w:rsid w:val="00404B21"/>
    <w:rsid w:val="00411CB2"/>
    <w:rsid w:val="004151AA"/>
    <w:rsid w:val="00420E31"/>
    <w:rsid w:val="00432FB1"/>
    <w:rsid w:val="00434C8A"/>
    <w:rsid w:val="004359BE"/>
    <w:rsid w:val="0043685A"/>
    <w:rsid w:val="0043778B"/>
    <w:rsid w:val="00440D6A"/>
    <w:rsid w:val="00441E4E"/>
    <w:rsid w:val="00442503"/>
    <w:rsid w:val="00443280"/>
    <w:rsid w:val="00443C8E"/>
    <w:rsid w:val="00453487"/>
    <w:rsid w:val="00453AB1"/>
    <w:rsid w:val="004630EE"/>
    <w:rsid w:val="00470155"/>
    <w:rsid w:val="00470932"/>
    <w:rsid w:val="004741A0"/>
    <w:rsid w:val="00474B72"/>
    <w:rsid w:val="004779E6"/>
    <w:rsid w:val="00484384"/>
    <w:rsid w:val="00493BE4"/>
    <w:rsid w:val="004968A2"/>
    <w:rsid w:val="004A08F9"/>
    <w:rsid w:val="004A1B73"/>
    <w:rsid w:val="004A3710"/>
    <w:rsid w:val="004A7A4B"/>
    <w:rsid w:val="004B0792"/>
    <w:rsid w:val="004C0239"/>
    <w:rsid w:val="004C3BB2"/>
    <w:rsid w:val="004D3BB6"/>
    <w:rsid w:val="004D424D"/>
    <w:rsid w:val="004D670A"/>
    <w:rsid w:val="004D7CB1"/>
    <w:rsid w:val="004F0787"/>
    <w:rsid w:val="004F2902"/>
    <w:rsid w:val="005048B8"/>
    <w:rsid w:val="00511276"/>
    <w:rsid w:val="00514FCA"/>
    <w:rsid w:val="0052176F"/>
    <w:rsid w:val="0052406E"/>
    <w:rsid w:val="00525736"/>
    <w:rsid w:val="00531506"/>
    <w:rsid w:val="00533CEE"/>
    <w:rsid w:val="00537B86"/>
    <w:rsid w:val="005412D5"/>
    <w:rsid w:val="00541D35"/>
    <w:rsid w:val="0054260D"/>
    <w:rsid w:val="00542B3F"/>
    <w:rsid w:val="00544E15"/>
    <w:rsid w:val="00544E2E"/>
    <w:rsid w:val="005462FF"/>
    <w:rsid w:val="00546F1A"/>
    <w:rsid w:val="0054707D"/>
    <w:rsid w:val="00547583"/>
    <w:rsid w:val="00551FAC"/>
    <w:rsid w:val="00552F38"/>
    <w:rsid w:val="0055632A"/>
    <w:rsid w:val="00557A72"/>
    <w:rsid w:val="00560E38"/>
    <w:rsid w:val="005614B7"/>
    <w:rsid w:val="0056152B"/>
    <w:rsid w:val="00565B30"/>
    <w:rsid w:val="005677F0"/>
    <w:rsid w:val="00572BC9"/>
    <w:rsid w:val="00573183"/>
    <w:rsid w:val="00573B08"/>
    <w:rsid w:val="005746A7"/>
    <w:rsid w:val="00574BF6"/>
    <w:rsid w:val="00580835"/>
    <w:rsid w:val="00582294"/>
    <w:rsid w:val="005826D8"/>
    <w:rsid w:val="00591523"/>
    <w:rsid w:val="0059465E"/>
    <w:rsid w:val="005A6649"/>
    <w:rsid w:val="005A7B27"/>
    <w:rsid w:val="005B6AEE"/>
    <w:rsid w:val="005B78D0"/>
    <w:rsid w:val="005D0B35"/>
    <w:rsid w:val="005D2F66"/>
    <w:rsid w:val="005D4819"/>
    <w:rsid w:val="005D4B98"/>
    <w:rsid w:val="005D5CB6"/>
    <w:rsid w:val="005D615E"/>
    <w:rsid w:val="005E1CE3"/>
    <w:rsid w:val="005E267C"/>
    <w:rsid w:val="005E346F"/>
    <w:rsid w:val="005E42AE"/>
    <w:rsid w:val="005F23AF"/>
    <w:rsid w:val="005F2E80"/>
    <w:rsid w:val="005F5903"/>
    <w:rsid w:val="005F5BD4"/>
    <w:rsid w:val="006010C0"/>
    <w:rsid w:val="00603B13"/>
    <w:rsid w:val="006055AA"/>
    <w:rsid w:val="006055E4"/>
    <w:rsid w:val="00613F96"/>
    <w:rsid w:val="006179CC"/>
    <w:rsid w:val="00630E4B"/>
    <w:rsid w:val="006321B7"/>
    <w:rsid w:val="00636209"/>
    <w:rsid w:val="00642238"/>
    <w:rsid w:val="00654F08"/>
    <w:rsid w:val="006626EF"/>
    <w:rsid w:val="00663EAB"/>
    <w:rsid w:val="0066419D"/>
    <w:rsid w:val="00667E93"/>
    <w:rsid w:val="00676C80"/>
    <w:rsid w:val="006818C9"/>
    <w:rsid w:val="00683BFF"/>
    <w:rsid w:val="00686656"/>
    <w:rsid w:val="00695B00"/>
    <w:rsid w:val="00697E94"/>
    <w:rsid w:val="00697F39"/>
    <w:rsid w:val="006A0655"/>
    <w:rsid w:val="006A215E"/>
    <w:rsid w:val="006A5798"/>
    <w:rsid w:val="006B03C1"/>
    <w:rsid w:val="006B3266"/>
    <w:rsid w:val="006B4B61"/>
    <w:rsid w:val="006B52B7"/>
    <w:rsid w:val="006C25F2"/>
    <w:rsid w:val="006C37FE"/>
    <w:rsid w:val="006C60D4"/>
    <w:rsid w:val="006C7358"/>
    <w:rsid w:val="006D23D0"/>
    <w:rsid w:val="006D3F3D"/>
    <w:rsid w:val="006D4414"/>
    <w:rsid w:val="006E211D"/>
    <w:rsid w:val="006E3A19"/>
    <w:rsid w:val="006E522C"/>
    <w:rsid w:val="006F0113"/>
    <w:rsid w:val="006F31A4"/>
    <w:rsid w:val="006F453C"/>
    <w:rsid w:val="006F7EF9"/>
    <w:rsid w:val="007000D8"/>
    <w:rsid w:val="00701A4E"/>
    <w:rsid w:val="00702E0E"/>
    <w:rsid w:val="00703107"/>
    <w:rsid w:val="00705D12"/>
    <w:rsid w:val="007074CD"/>
    <w:rsid w:val="00720495"/>
    <w:rsid w:val="00725326"/>
    <w:rsid w:val="007275DF"/>
    <w:rsid w:val="007313BC"/>
    <w:rsid w:val="0073191D"/>
    <w:rsid w:val="00732220"/>
    <w:rsid w:val="00732EBB"/>
    <w:rsid w:val="00734C7E"/>
    <w:rsid w:val="00735862"/>
    <w:rsid w:val="007426C5"/>
    <w:rsid w:val="007458C0"/>
    <w:rsid w:val="00747B69"/>
    <w:rsid w:val="00753BF1"/>
    <w:rsid w:val="00753EF1"/>
    <w:rsid w:val="007556E3"/>
    <w:rsid w:val="00756385"/>
    <w:rsid w:val="007576A3"/>
    <w:rsid w:val="007608CF"/>
    <w:rsid w:val="00760CDB"/>
    <w:rsid w:val="00761787"/>
    <w:rsid w:val="00762CC6"/>
    <w:rsid w:val="00765EFC"/>
    <w:rsid w:val="00767634"/>
    <w:rsid w:val="0078245C"/>
    <w:rsid w:val="00785740"/>
    <w:rsid w:val="007862E0"/>
    <w:rsid w:val="0078632B"/>
    <w:rsid w:val="0079049E"/>
    <w:rsid w:val="0079086C"/>
    <w:rsid w:val="00796013"/>
    <w:rsid w:val="00797F34"/>
    <w:rsid w:val="007A0A74"/>
    <w:rsid w:val="007A3906"/>
    <w:rsid w:val="007A4DCA"/>
    <w:rsid w:val="007A5A55"/>
    <w:rsid w:val="007A6932"/>
    <w:rsid w:val="007A7017"/>
    <w:rsid w:val="007B36C4"/>
    <w:rsid w:val="007B4B27"/>
    <w:rsid w:val="007C3902"/>
    <w:rsid w:val="007C659E"/>
    <w:rsid w:val="007D5AA2"/>
    <w:rsid w:val="007E0809"/>
    <w:rsid w:val="007E0ECE"/>
    <w:rsid w:val="007E23A9"/>
    <w:rsid w:val="007E3E59"/>
    <w:rsid w:val="007E6D3C"/>
    <w:rsid w:val="007F12E4"/>
    <w:rsid w:val="007F33A7"/>
    <w:rsid w:val="007F33DE"/>
    <w:rsid w:val="007F3776"/>
    <w:rsid w:val="007F40F6"/>
    <w:rsid w:val="007F4FC5"/>
    <w:rsid w:val="007F50B8"/>
    <w:rsid w:val="007F6920"/>
    <w:rsid w:val="007F79EB"/>
    <w:rsid w:val="00806909"/>
    <w:rsid w:val="00806F0F"/>
    <w:rsid w:val="00806F5F"/>
    <w:rsid w:val="00816BF1"/>
    <w:rsid w:val="00817DC5"/>
    <w:rsid w:val="00820BD9"/>
    <w:rsid w:val="0082492A"/>
    <w:rsid w:val="0082683A"/>
    <w:rsid w:val="00831C8D"/>
    <w:rsid w:val="00833E4B"/>
    <w:rsid w:val="008408FD"/>
    <w:rsid w:val="008413FB"/>
    <w:rsid w:val="00841F06"/>
    <w:rsid w:val="00842F95"/>
    <w:rsid w:val="00845047"/>
    <w:rsid w:val="00845A2F"/>
    <w:rsid w:val="00846DA4"/>
    <w:rsid w:val="008500B7"/>
    <w:rsid w:val="00860959"/>
    <w:rsid w:val="0086155A"/>
    <w:rsid w:val="0086208E"/>
    <w:rsid w:val="00867680"/>
    <w:rsid w:val="008707E3"/>
    <w:rsid w:val="008713B1"/>
    <w:rsid w:val="00874DC7"/>
    <w:rsid w:val="008774CC"/>
    <w:rsid w:val="00880019"/>
    <w:rsid w:val="00881009"/>
    <w:rsid w:val="00882112"/>
    <w:rsid w:val="00891BC0"/>
    <w:rsid w:val="00895112"/>
    <w:rsid w:val="00895E20"/>
    <w:rsid w:val="00896E79"/>
    <w:rsid w:val="008A33B7"/>
    <w:rsid w:val="008A5DAF"/>
    <w:rsid w:val="008A7B2B"/>
    <w:rsid w:val="008B0415"/>
    <w:rsid w:val="008B1CDB"/>
    <w:rsid w:val="008B3024"/>
    <w:rsid w:val="008B4679"/>
    <w:rsid w:val="008B4923"/>
    <w:rsid w:val="008B54DF"/>
    <w:rsid w:val="008B663B"/>
    <w:rsid w:val="008B6D77"/>
    <w:rsid w:val="008B7904"/>
    <w:rsid w:val="008C415E"/>
    <w:rsid w:val="008C71D6"/>
    <w:rsid w:val="008C754E"/>
    <w:rsid w:val="008C7DC7"/>
    <w:rsid w:val="008D0BDA"/>
    <w:rsid w:val="008D1CC2"/>
    <w:rsid w:val="008D1D9D"/>
    <w:rsid w:val="008D4C70"/>
    <w:rsid w:val="008E1128"/>
    <w:rsid w:val="008E11F7"/>
    <w:rsid w:val="008E76A8"/>
    <w:rsid w:val="008F54BE"/>
    <w:rsid w:val="008F56A9"/>
    <w:rsid w:val="008F6360"/>
    <w:rsid w:val="008F7577"/>
    <w:rsid w:val="009120E2"/>
    <w:rsid w:val="0091264D"/>
    <w:rsid w:val="00913AF3"/>
    <w:rsid w:val="00924980"/>
    <w:rsid w:val="00925CCF"/>
    <w:rsid w:val="00932DDF"/>
    <w:rsid w:val="00934FA6"/>
    <w:rsid w:val="009357A0"/>
    <w:rsid w:val="00935DD1"/>
    <w:rsid w:val="00937DEA"/>
    <w:rsid w:val="009438A6"/>
    <w:rsid w:val="0095183A"/>
    <w:rsid w:val="00952C6B"/>
    <w:rsid w:val="00955D49"/>
    <w:rsid w:val="0095603D"/>
    <w:rsid w:val="00957B8B"/>
    <w:rsid w:val="00961005"/>
    <w:rsid w:val="00962CB1"/>
    <w:rsid w:val="009659F2"/>
    <w:rsid w:val="0097131C"/>
    <w:rsid w:val="00971502"/>
    <w:rsid w:val="00972A47"/>
    <w:rsid w:val="009747A7"/>
    <w:rsid w:val="00974F9F"/>
    <w:rsid w:val="00975580"/>
    <w:rsid w:val="00982ABC"/>
    <w:rsid w:val="0098536E"/>
    <w:rsid w:val="00991BEA"/>
    <w:rsid w:val="0099591F"/>
    <w:rsid w:val="009A19EE"/>
    <w:rsid w:val="009A1E9A"/>
    <w:rsid w:val="009A4B15"/>
    <w:rsid w:val="009A6353"/>
    <w:rsid w:val="009B0027"/>
    <w:rsid w:val="009B0ABF"/>
    <w:rsid w:val="009B0DAD"/>
    <w:rsid w:val="009B19DD"/>
    <w:rsid w:val="009B53A8"/>
    <w:rsid w:val="009B5834"/>
    <w:rsid w:val="009B642F"/>
    <w:rsid w:val="009B64A9"/>
    <w:rsid w:val="009C2D85"/>
    <w:rsid w:val="009C4213"/>
    <w:rsid w:val="009C71CE"/>
    <w:rsid w:val="009D245B"/>
    <w:rsid w:val="009D2DC3"/>
    <w:rsid w:val="009D3425"/>
    <w:rsid w:val="009D46C8"/>
    <w:rsid w:val="009D7683"/>
    <w:rsid w:val="009E28D0"/>
    <w:rsid w:val="009E4C5B"/>
    <w:rsid w:val="009E51F4"/>
    <w:rsid w:val="009F1260"/>
    <w:rsid w:val="009F1BC8"/>
    <w:rsid w:val="009F3272"/>
    <w:rsid w:val="00A017D5"/>
    <w:rsid w:val="00A02866"/>
    <w:rsid w:val="00A04418"/>
    <w:rsid w:val="00A044FC"/>
    <w:rsid w:val="00A104EC"/>
    <w:rsid w:val="00A10D60"/>
    <w:rsid w:val="00A1303E"/>
    <w:rsid w:val="00A1401C"/>
    <w:rsid w:val="00A269FB"/>
    <w:rsid w:val="00A31993"/>
    <w:rsid w:val="00A437F9"/>
    <w:rsid w:val="00A46AB4"/>
    <w:rsid w:val="00A50087"/>
    <w:rsid w:val="00A504F8"/>
    <w:rsid w:val="00A50DB8"/>
    <w:rsid w:val="00A63E21"/>
    <w:rsid w:val="00A64087"/>
    <w:rsid w:val="00A660C6"/>
    <w:rsid w:val="00A73160"/>
    <w:rsid w:val="00A7468D"/>
    <w:rsid w:val="00A827F9"/>
    <w:rsid w:val="00A846AC"/>
    <w:rsid w:val="00A8765A"/>
    <w:rsid w:val="00A94E5C"/>
    <w:rsid w:val="00A9617C"/>
    <w:rsid w:val="00A97948"/>
    <w:rsid w:val="00AA1F42"/>
    <w:rsid w:val="00AA3E79"/>
    <w:rsid w:val="00AA46F2"/>
    <w:rsid w:val="00AB1F34"/>
    <w:rsid w:val="00AB3301"/>
    <w:rsid w:val="00AB5316"/>
    <w:rsid w:val="00AB5710"/>
    <w:rsid w:val="00AC0427"/>
    <w:rsid w:val="00AC1CC4"/>
    <w:rsid w:val="00AC2D6F"/>
    <w:rsid w:val="00AC5419"/>
    <w:rsid w:val="00AD0B78"/>
    <w:rsid w:val="00AE00E3"/>
    <w:rsid w:val="00AE3E3B"/>
    <w:rsid w:val="00AE74B1"/>
    <w:rsid w:val="00AF0148"/>
    <w:rsid w:val="00AF1DF5"/>
    <w:rsid w:val="00AF7135"/>
    <w:rsid w:val="00B12660"/>
    <w:rsid w:val="00B13E47"/>
    <w:rsid w:val="00B27BFD"/>
    <w:rsid w:val="00B304CD"/>
    <w:rsid w:val="00B346A1"/>
    <w:rsid w:val="00B35DBF"/>
    <w:rsid w:val="00B37478"/>
    <w:rsid w:val="00B44470"/>
    <w:rsid w:val="00B537EE"/>
    <w:rsid w:val="00B61C4C"/>
    <w:rsid w:val="00B62F9B"/>
    <w:rsid w:val="00B639AE"/>
    <w:rsid w:val="00B67431"/>
    <w:rsid w:val="00B73471"/>
    <w:rsid w:val="00B73BD1"/>
    <w:rsid w:val="00B74BE1"/>
    <w:rsid w:val="00B7701B"/>
    <w:rsid w:val="00B810DE"/>
    <w:rsid w:val="00B843E0"/>
    <w:rsid w:val="00B910A2"/>
    <w:rsid w:val="00B93953"/>
    <w:rsid w:val="00B9500B"/>
    <w:rsid w:val="00B956D8"/>
    <w:rsid w:val="00B96A69"/>
    <w:rsid w:val="00B9720A"/>
    <w:rsid w:val="00B97C3E"/>
    <w:rsid w:val="00B97FF7"/>
    <w:rsid w:val="00BA2610"/>
    <w:rsid w:val="00BB26AB"/>
    <w:rsid w:val="00BB3D0F"/>
    <w:rsid w:val="00BB4CE4"/>
    <w:rsid w:val="00BD2006"/>
    <w:rsid w:val="00BD27A6"/>
    <w:rsid w:val="00BD6FF7"/>
    <w:rsid w:val="00BE00C5"/>
    <w:rsid w:val="00BE0920"/>
    <w:rsid w:val="00BE4164"/>
    <w:rsid w:val="00BE621B"/>
    <w:rsid w:val="00BE6406"/>
    <w:rsid w:val="00BE6886"/>
    <w:rsid w:val="00BF0102"/>
    <w:rsid w:val="00BF14CE"/>
    <w:rsid w:val="00BF4E2D"/>
    <w:rsid w:val="00C02577"/>
    <w:rsid w:val="00C03D2C"/>
    <w:rsid w:val="00C11FE6"/>
    <w:rsid w:val="00C152C6"/>
    <w:rsid w:val="00C166B0"/>
    <w:rsid w:val="00C24211"/>
    <w:rsid w:val="00C2698E"/>
    <w:rsid w:val="00C30987"/>
    <w:rsid w:val="00C33627"/>
    <w:rsid w:val="00C37636"/>
    <w:rsid w:val="00C41D92"/>
    <w:rsid w:val="00C42105"/>
    <w:rsid w:val="00C44CBF"/>
    <w:rsid w:val="00C52A03"/>
    <w:rsid w:val="00C55F17"/>
    <w:rsid w:val="00C61AF1"/>
    <w:rsid w:val="00C627FB"/>
    <w:rsid w:val="00C70FAD"/>
    <w:rsid w:val="00C76A97"/>
    <w:rsid w:val="00C81988"/>
    <w:rsid w:val="00C86661"/>
    <w:rsid w:val="00C95F7D"/>
    <w:rsid w:val="00CA0851"/>
    <w:rsid w:val="00CA1546"/>
    <w:rsid w:val="00CA2072"/>
    <w:rsid w:val="00CA6429"/>
    <w:rsid w:val="00CB05C5"/>
    <w:rsid w:val="00CC5DA9"/>
    <w:rsid w:val="00CC7B88"/>
    <w:rsid w:val="00CD0434"/>
    <w:rsid w:val="00CD26E9"/>
    <w:rsid w:val="00CD4E3F"/>
    <w:rsid w:val="00CD5531"/>
    <w:rsid w:val="00CD5F8D"/>
    <w:rsid w:val="00CE301F"/>
    <w:rsid w:val="00CE4C4B"/>
    <w:rsid w:val="00CE7107"/>
    <w:rsid w:val="00CF0F23"/>
    <w:rsid w:val="00CF10C9"/>
    <w:rsid w:val="00CF552F"/>
    <w:rsid w:val="00D0087B"/>
    <w:rsid w:val="00D025AF"/>
    <w:rsid w:val="00D068C3"/>
    <w:rsid w:val="00D108F0"/>
    <w:rsid w:val="00D1140C"/>
    <w:rsid w:val="00D114F3"/>
    <w:rsid w:val="00D16CF3"/>
    <w:rsid w:val="00D17AAB"/>
    <w:rsid w:val="00D203E7"/>
    <w:rsid w:val="00D21DEF"/>
    <w:rsid w:val="00D2670F"/>
    <w:rsid w:val="00D40E8E"/>
    <w:rsid w:val="00D44DBC"/>
    <w:rsid w:val="00D46EDF"/>
    <w:rsid w:val="00D47DA5"/>
    <w:rsid w:val="00D53B44"/>
    <w:rsid w:val="00D54E51"/>
    <w:rsid w:val="00D61976"/>
    <w:rsid w:val="00D638E6"/>
    <w:rsid w:val="00D65D9C"/>
    <w:rsid w:val="00D73C0D"/>
    <w:rsid w:val="00D73E9F"/>
    <w:rsid w:val="00D80B19"/>
    <w:rsid w:val="00D8104F"/>
    <w:rsid w:val="00D8598D"/>
    <w:rsid w:val="00D86297"/>
    <w:rsid w:val="00D92EC8"/>
    <w:rsid w:val="00D93246"/>
    <w:rsid w:val="00D944BA"/>
    <w:rsid w:val="00D96BD0"/>
    <w:rsid w:val="00DA16A9"/>
    <w:rsid w:val="00DA491F"/>
    <w:rsid w:val="00DA6876"/>
    <w:rsid w:val="00DA69AF"/>
    <w:rsid w:val="00DA7DD7"/>
    <w:rsid w:val="00DB176F"/>
    <w:rsid w:val="00DB2CD6"/>
    <w:rsid w:val="00DB725B"/>
    <w:rsid w:val="00DB789D"/>
    <w:rsid w:val="00DC0F0B"/>
    <w:rsid w:val="00DC16F6"/>
    <w:rsid w:val="00DC47D7"/>
    <w:rsid w:val="00DC70E7"/>
    <w:rsid w:val="00DD1A28"/>
    <w:rsid w:val="00DD5B62"/>
    <w:rsid w:val="00DE1C88"/>
    <w:rsid w:val="00DE35D1"/>
    <w:rsid w:val="00DE48E7"/>
    <w:rsid w:val="00DE740A"/>
    <w:rsid w:val="00DF1C88"/>
    <w:rsid w:val="00DF20F7"/>
    <w:rsid w:val="00DF4428"/>
    <w:rsid w:val="00DF4518"/>
    <w:rsid w:val="00DF50BE"/>
    <w:rsid w:val="00DF6174"/>
    <w:rsid w:val="00E01F5C"/>
    <w:rsid w:val="00E03771"/>
    <w:rsid w:val="00E0474C"/>
    <w:rsid w:val="00E072B7"/>
    <w:rsid w:val="00E14C81"/>
    <w:rsid w:val="00E24CD3"/>
    <w:rsid w:val="00E251E6"/>
    <w:rsid w:val="00E27521"/>
    <w:rsid w:val="00E338B1"/>
    <w:rsid w:val="00E33A2B"/>
    <w:rsid w:val="00E36B25"/>
    <w:rsid w:val="00E37D9A"/>
    <w:rsid w:val="00E41AE9"/>
    <w:rsid w:val="00E42B1E"/>
    <w:rsid w:val="00E43F6A"/>
    <w:rsid w:val="00E4423F"/>
    <w:rsid w:val="00E444AF"/>
    <w:rsid w:val="00E448B5"/>
    <w:rsid w:val="00E46CC3"/>
    <w:rsid w:val="00E62319"/>
    <w:rsid w:val="00E6487D"/>
    <w:rsid w:val="00E66218"/>
    <w:rsid w:val="00E702C4"/>
    <w:rsid w:val="00E72FC9"/>
    <w:rsid w:val="00E7521A"/>
    <w:rsid w:val="00E84106"/>
    <w:rsid w:val="00E8452A"/>
    <w:rsid w:val="00E928F9"/>
    <w:rsid w:val="00E94F45"/>
    <w:rsid w:val="00EA3039"/>
    <w:rsid w:val="00EA6202"/>
    <w:rsid w:val="00EA6475"/>
    <w:rsid w:val="00EB1350"/>
    <w:rsid w:val="00EB58F6"/>
    <w:rsid w:val="00EB7BAC"/>
    <w:rsid w:val="00EC3C9A"/>
    <w:rsid w:val="00EC48A1"/>
    <w:rsid w:val="00EC49EF"/>
    <w:rsid w:val="00EC5361"/>
    <w:rsid w:val="00EC5420"/>
    <w:rsid w:val="00ED2C30"/>
    <w:rsid w:val="00ED40F7"/>
    <w:rsid w:val="00ED4EB6"/>
    <w:rsid w:val="00ED6EF1"/>
    <w:rsid w:val="00EE193E"/>
    <w:rsid w:val="00EE75F7"/>
    <w:rsid w:val="00EF1240"/>
    <w:rsid w:val="00EF20F3"/>
    <w:rsid w:val="00EF3A62"/>
    <w:rsid w:val="00EF4EC0"/>
    <w:rsid w:val="00EF7E02"/>
    <w:rsid w:val="00F05317"/>
    <w:rsid w:val="00F06AA8"/>
    <w:rsid w:val="00F11134"/>
    <w:rsid w:val="00F11146"/>
    <w:rsid w:val="00F22CE5"/>
    <w:rsid w:val="00F25274"/>
    <w:rsid w:val="00F2645F"/>
    <w:rsid w:val="00F30D97"/>
    <w:rsid w:val="00F3296B"/>
    <w:rsid w:val="00F355D0"/>
    <w:rsid w:val="00F3759E"/>
    <w:rsid w:val="00F37714"/>
    <w:rsid w:val="00F43F0D"/>
    <w:rsid w:val="00F51DE2"/>
    <w:rsid w:val="00F51F76"/>
    <w:rsid w:val="00F529AA"/>
    <w:rsid w:val="00F53EC3"/>
    <w:rsid w:val="00F54FEA"/>
    <w:rsid w:val="00F554E8"/>
    <w:rsid w:val="00F575AD"/>
    <w:rsid w:val="00F60F20"/>
    <w:rsid w:val="00F63D15"/>
    <w:rsid w:val="00F665AB"/>
    <w:rsid w:val="00F75558"/>
    <w:rsid w:val="00F75C54"/>
    <w:rsid w:val="00F764EC"/>
    <w:rsid w:val="00F8063A"/>
    <w:rsid w:val="00F82986"/>
    <w:rsid w:val="00F83661"/>
    <w:rsid w:val="00F87C56"/>
    <w:rsid w:val="00F93739"/>
    <w:rsid w:val="00F9728D"/>
    <w:rsid w:val="00FA6990"/>
    <w:rsid w:val="00FB1AFB"/>
    <w:rsid w:val="00FB2B06"/>
    <w:rsid w:val="00FB2C1B"/>
    <w:rsid w:val="00FB481D"/>
    <w:rsid w:val="00FB49DD"/>
    <w:rsid w:val="00FC2951"/>
    <w:rsid w:val="00FC3570"/>
    <w:rsid w:val="00FC6E2A"/>
    <w:rsid w:val="00FE01D9"/>
    <w:rsid w:val="00FE264D"/>
    <w:rsid w:val="00FE5808"/>
    <w:rsid w:val="00FE699B"/>
    <w:rsid w:val="00FF3F78"/>
    <w:rsid w:val="00FF44DD"/>
    <w:rsid w:val="00FF5FC8"/>
    <w:rsid w:val="00FF7504"/>
    <w:rsid w:val="01543698"/>
    <w:rsid w:val="01716B58"/>
    <w:rsid w:val="01C521B3"/>
    <w:rsid w:val="02290C40"/>
    <w:rsid w:val="022D440E"/>
    <w:rsid w:val="02597C20"/>
    <w:rsid w:val="027E74A7"/>
    <w:rsid w:val="028546EB"/>
    <w:rsid w:val="028D5673"/>
    <w:rsid w:val="033F6060"/>
    <w:rsid w:val="04C70B93"/>
    <w:rsid w:val="05675B81"/>
    <w:rsid w:val="05945F5E"/>
    <w:rsid w:val="05BF54E7"/>
    <w:rsid w:val="062444CC"/>
    <w:rsid w:val="068C54B9"/>
    <w:rsid w:val="06913775"/>
    <w:rsid w:val="07634BF4"/>
    <w:rsid w:val="07C70DC4"/>
    <w:rsid w:val="0926237D"/>
    <w:rsid w:val="09302B22"/>
    <w:rsid w:val="093A12E4"/>
    <w:rsid w:val="098B21D8"/>
    <w:rsid w:val="09EF7ED0"/>
    <w:rsid w:val="0A3A6A1B"/>
    <w:rsid w:val="0ADA18CC"/>
    <w:rsid w:val="0B003157"/>
    <w:rsid w:val="0B3568A8"/>
    <w:rsid w:val="0BB914B6"/>
    <w:rsid w:val="0BD7795F"/>
    <w:rsid w:val="0C08383C"/>
    <w:rsid w:val="0C667EA6"/>
    <w:rsid w:val="0D062084"/>
    <w:rsid w:val="0DF742E8"/>
    <w:rsid w:val="11072A94"/>
    <w:rsid w:val="123419D2"/>
    <w:rsid w:val="13032411"/>
    <w:rsid w:val="13846168"/>
    <w:rsid w:val="13895B9C"/>
    <w:rsid w:val="13FC1FA7"/>
    <w:rsid w:val="143F7E4F"/>
    <w:rsid w:val="146B333A"/>
    <w:rsid w:val="14A44FB8"/>
    <w:rsid w:val="156D4658"/>
    <w:rsid w:val="161679A7"/>
    <w:rsid w:val="169828CD"/>
    <w:rsid w:val="1707435F"/>
    <w:rsid w:val="18C13618"/>
    <w:rsid w:val="19F1668A"/>
    <w:rsid w:val="1A7C3622"/>
    <w:rsid w:val="1B975E4F"/>
    <w:rsid w:val="1C02130A"/>
    <w:rsid w:val="1C646745"/>
    <w:rsid w:val="1CAC2742"/>
    <w:rsid w:val="1DCD6AB3"/>
    <w:rsid w:val="1E0F2B51"/>
    <w:rsid w:val="1E311151"/>
    <w:rsid w:val="1E376FDF"/>
    <w:rsid w:val="1FFA69B8"/>
    <w:rsid w:val="209D31DB"/>
    <w:rsid w:val="20EE6564"/>
    <w:rsid w:val="219A5FA9"/>
    <w:rsid w:val="22C73E32"/>
    <w:rsid w:val="23E0478E"/>
    <w:rsid w:val="24C43A2C"/>
    <w:rsid w:val="24E52C95"/>
    <w:rsid w:val="257C53A7"/>
    <w:rsid w:val="25813496"/>
    <w:rsid w:val="268259AE"/>
    <w:rsid w:val="26C52111"/>
    <w:rsid w:val="26E85EC8"/>
    <w:rsid w:val="26EA0A6E"/>
    <w:rsid w:val="26FE030A"/>
    <w:rsid w:val="274C4752"/>
    <w:rsid w:val="27D668C5"/>
    <w:rsid w:val="27E76110"/>
    <w:rsid w:val="28246ECE"/>
    <w:rsid w:val="29012D28"/>
    <w:rsid w:val="294F4B81"/>
    <w:rsid w:val="2AB9711D"/>
    <w:rsid w:val="2B2937A5"/>
    <w:rsid w:val="2B4C054F"/>
    <w:rsid w:val="2CA44E15"/>
    <w:rsid w:val="2CF7573E"/>
    <w:rsid w:val="2D7719E1"/>
    <w:rsid w:val="2D925870"/>
    <w:rsid w:val="2DDE1A13"/>
    <w:rsid w:val="2DEF26D6"/>
    <w:rsid w:val="310A7126"/>
    <w:rsid w:val="32C335B1"/>
    <w:rsid w:val="3332229A"/>
    <w:rsid w:val="334127DE"/>
    <w:rsid w:val="34CB024D"/>
    <w:rsid w:val="34DB551B"/>
    <w:rsid w:val="35235397"/>
    <w:rsid w:val="355D0B43"/>
    <w:rsid w:val="35FA38AD"/>
    <w:rsid w:val="367810B3"/>
    <w:rsid w:val="37221E07"/>
    <w:rsid w:val="374B2E2B"/>
    <w:rsid w:val="37E94405"/>
    <w:rsid w:val="391D43D1"/>
    <w:rsid w:val="398B5761"/>
    <w:rsid w:val="39BC1DBE"/>
    <w:rsid w:val="3A714E4B"/>
    <w:rsid w:val="3AC32048"/>
    <w:rsid w:val="3ADA04DA"/>
    <w:rsid w:val="3AF24716"/>
    <w:rsid w:val="3B24224C"/>
    <w:rsid w:val="3B466628"/>
    <w:rsid w:val="3BED2703"/>
    <w:rsid w:val="3C3025F0"/>
    <w:rsid w:val="3D00619F"/>
    <w:rsid w:val="3D460945"/>
    <w:rsid w:val="3F7B0218"/>
    <w:rsid w:val="408D131E"/>
    <w:rsid w:val="40D03ED8"/>
    <w:rsid w:val="410F047F"/>
    <w:rsid w:val="416F4571"/>
    <w:rsid w:val="41A63A30"/>
    <w:rsid w:val="41DB4140"/>
    <w:rsid w:val="429107C7"/>
    <w:rsid w:val="42A95791"/>
    <w:rsid w:val="42ED13C2"/>
    <w:rsid w:val="44891D0D"/>
    <w:rsid w:val="44B73D07"/>
    <w:rsid w:val="452D76AA"/>
    <w:rsid w:val="46145D49"/>
    <w:rsid w:val="468A6CBC"/>
    <w:rsid w:val="46C1100B"/>
    <w:rsid w:val="46E7650D"/>
    <w:rsid w:val="482A6DC7"/>
    <w:rsid w:val="48FC1291"/>
    <w:rsid w:val="4C310D9C"/>
    <w:rsid w:val="4CAF4EBB"/>
    <w:rsid w:val="4CF25CB3"/>
    <w:rsid w:val="4E071BA4"/>
    <w:rsid w:val="4E112440"/>
    <w:rsid w:val="4E2D31EF"/>
    <w:rsid w:val="4E985EB2"/>
    <w:rsid w:val="4FC058C6"/>
    <w:rsid w:val="51033196"/>
    <w:rsid w:val="510C5E54"/>
    <w:rsid w:val="51575697"/>
    <w:rsid w:val="52216A9B"/>
    <w:rsid w:val="52427E13"/>
    <w:rsid w:val="52DA0CA4"/>
    <w:rsid w:val="52EF13E6"/>
    <w:rsid w:val="536966BB"/>
    <w:rsid w:val="546C4689"/>
    <w:rsid w:val="547418E3"/>
    <w:rsid w:val="54BA568B"/>
    <w:rsid w:val="54C26BFC"/>
    <w:rsid w:val="557266CE"/>
    <w:rsid w:val="55D801E5"/>
    <w:rsid w:val="561A7EC6"/>
    <w:rsid w:val="572946A1"/>
    <w:rsid w:val="572959A2"/>
    <w:rsid w:val="57C245EC"/>
    <w:rsid w:val="57CA5ED2"/>
    <w:rsid w:val="57E71486"/>
    <w:rsid w:val="58242078"/>
    <w:rsid w:val="587C1217"/>
    <w:rsid w:val="59561FE0"/>
    <w:rsid w:val="59943EF2"/>
    <w:rsid w:val="5A1C03AD"/>
    <w:rsid w:val="5ADE61AD"/>
    <w:rsid w:val="5ADF1011"/>
    <w:rsid w:val="5B7976B8"/>
    <w:rsid w:val="5B9A25B0"/>
    <w:rsid w:val="5BCE0BDB"/>
    <w:rsid w:val="5C82428E"/>
    <w:rsid w:val="5C827377"/>
    <w:rsid w:val="5C930B9D"/>
    <w:rsid w:val="5D463571"/>
    <w:rsid w:val="5D936DD3"/>
    <w:rsid w:val="5E225DE5"/>
    <w:rsid w:val="5E5A674B"/>
    <w:rsid w:val="5F1733C5"/>
    <w:rsid w:val="5F251B4F"/>
    <w:rsid w:val="5F916509"/>
    <w:rsid w:val="60952107"/>
    <w:rsid w:val="60E44589"/>
    <w:rsid w:val="610B673B"/>
    <w:rsid w:val="61447E20"/>
    <w:rsid w:val="614B680F"/>
    <w:rsid w:val="62B343FC"/>
    <w:rsid w:val="635A7DCF"/>
    <w:rsid w:val="6477675E"/>
    <w:rsid w:val="64D62D2E"/>
    <w:rsid w:val="6581630D"/>
    <w:rsid w:val="663C4348"/>
    <w:rsid w:val="66C467C4"/>
    <w:rsid w:val="670C7632"/>
    <w:rsid w:val="672A5D0A"/>
    <w:rsid w:val="6790376D"/>
    <w:rsid w:val="68053023"/>
    <w:rsid w:val="695D4175"/>
    <w:rsid w:val="6A072A7D"/>
    <w:rsid w:val="6A096E77"/>
    <w:rsid w:val="6B24299C"/>
    <w:rsid w:val="6BCA7704"/>
    <w:rsid w:val="6C2F5391"/>
    <w:rsid w:val="6C587191"/>
    <w:rsid w:val="6DB0087C"/>
    <w:rsid w:val="6E2E5A0D"/>
    <w:rsid w:val="6E5019D7"/>
    <w:rsid w:val="6E71237D"/>
    <w:rsid w:val="6FB94521"/>
    <w:rsid w:val="71B143BB"/>
    <w:rsid w:val="723C5848"/>
    <w:rsid w:val="7322493E"/>
    <w:rsid w:val="73BE1CB4"/>
    <w:rsid w:val="73FA3EA6"/>
    <w:rsid w:val="742835D1"/>
    <w:rsid w:val="75180085"/>
    <w:rsid w:val="75C26A12"/>
    <w:rsid w:val="77361B13"/>
    <w:rsid w:val="78B61E21"/>
    <w:rsid w:val="790A232E"/>
    <w:rsid w:val="794719E5"/>
    <w:rsid w:val="7A5837C2"/>
    <w:rsid w:val="7A81476E"/>
    <w:rsid w:val="7ABA6B64"/>
    <w:rsid w:val="7CB33B04"/>
    <w:rsid w:val="7D6C7C31"/>
    <w:rsid w:val="7D6F2271"/>
    <w:rsid w:val="7DA95783"/>
    <w:rsid w:val="7DAB50A0"/>
    <w:rsid w:val="7EAA76FA"/>
    <w:rsid w:val="7EAB5A90"/>
    <w:rsid w:val="7F0832B6"/>
    <w:rsid w:val="7F6934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8">
    <w:name w:val="List 3"/>
    <w:basedOn w:val="1"/>
    <w:autoRedefine/>
    <w:qFormat/>
    <w:uiPriority w:val="99"/>
    <w:pPr>
      <w:ind w:left="1260" w:hanging="420"/>
    </w:pPr>
    <w:rPr>
      <w:szCs w:val="20"/>
    </w:rPr>
  </w:style>
  <w:style w:type="paragraph" w:styleId="9">
    <w:name w:val="caption"/>
    <w:basedOn w:val="1"/>
    <w:next w:val="1"/>
    <w:autoRedefine/>
    <w:qFormat/>
    <w:uiPriority w:val="0"/>
    <w:rPr>
      <w:rFonts w:ascii="Arial" w:hAnsi="Arial" w:eastAsia="黑体" w:cs="Arial"/>
      <w:sz w:val="20"/>
      <w:szCs w:val="20"/>
    </w:rPr>
  </w:style>
  <w:style w:type="paragraph" w:styleId="10">
    <w:name w:val="Document Map"/>
    <w:basedOn w:val="1"/>
    <w:autoRedefine/>
    <w:qFormat/>
    <w:uiPriority w:val="0"/>
    <w:pPr>
      <w:shd w:val="clear" w:color="auto" w:fill="000080"/>
    </w:pPr>
    <w:rPr>
      <w:rFonts w:ascii="Cambria" w:hAnsi="Cambria"/>
      <w:sz w:val="24"/>
      <w:szCs w:val="24"/>
    </w:rPr>
  </w:style>
  <w:style w:type="paragraph" w:styleId="11">
    <w:name w:val="annotation text"/>
    <w:basedOn w:val="1"/>
    <w:link w:val="37"/>
    <w:autoRedefine/>
    <w:unhideWhenUsed/>
    <w:qFormat/>
    <w:uiPriority w:val="99"/>
    <w:pPr>
      <w:jc w:val="left"/>
    </w:pPr>
  </w:style>
  <w:style w:type="paragraph" w:styleId="12">
    <w:name w:val="Body Text 3"/>
    <w:basedOn w:val="1"/>
    <w:link w:val="47"/>
    <w:autoRedefine/>
    <w:unhideWhenUsed/>
    <w:qFormat/>
    <w:uiPriority w:val="99"/>
    <w:pPr>
      <w:spacing w:after="120"/>
    </w:pPr>
    <w:rPr>
      <w:sz w:val="16"/>
      <w:szCs w:val="16"/>
    </w:rPr>
  </w:style>
  <w:style w:type="paragraph" w:styleId="13">
    <w:name w:val="Body Text"/>
    <w:basedOn w:val="1"/>
    <w:autoRedefine/>
    <w:qFormat/>
    <w:uiPriority w:val="1"/>
    <w:rPr>
      <w:rFonts w:ascii="黑体" w:hAnsi="黑体" w:eastAsia="黑体" w:cs="黑体"/>
      <w:szCs w:val="21"/>
      <w:lang w:val="zh-CN" w:bidi="zh-CN"/>
    </w:rPr>
  </w:style>
  <w:style w:type="paragraph" w:styleId="14">
    <w:name w:val="Body Text Indent"/>
    <w:basedOn w:val="1"/>
    <w:autoRedefine/>
    <w:qFormat/>
    <w:uiPriority w:val="0"/>
    <w:pPr>
      <w:spacing w:after="120"/>
      <w:ind w:left="420" w:leftChars="200"/>
    </w:pPr>
    <w:rPr>
      <w:rFonts w:eastAsia="Times New Roman"/>
      <w:kern w:val="0"/>
      <w:sz w:val="20"/>
      <w:szCs w:val="21"/>
    </w:rPr>
  </w:style>
  <w:style w:type="paragraph" w:styleId="15">
    <w:name w:val="toc 3"/>
    <w:basedOn w:val="1"/>
    <w:next w:val="1"/>
    <w:autoRedefine/>
    <w:unhideWhenUsed/>
    <w:qFormat/>
    <w:uiPriority w:val="39"/>
    <w:pPr>
      <w:ind w:left="840" w:leftChars="400"/>
    </w:pPr>
  </w:style>
  <w:style w:type="paragraph" w:styleId="16">
    <w:name w:val="Plain Text"/>
    <w:basedOn w:val="1"/>
    <w:link w:val="44"/>
    <w:autoRedefine/>
    <w:qFormat/>
    <w:uiPriority w:val="0"/>
    <w:pPr>
      <w:tabs>
        <w:tab w:val="left" w:pos="142"/>
      </w:tabs>
      <w:jc w:val="left"/>
    </w:pPr>
    <w:rPr>
      <w:rFonts w:ascii="仿宋" w:hAnsi="仿宋" w:eastAsia="仿宋"/>
      <w:kern w:val="1"/>
      <w:sz w:val="72"/>
      <w:szCs w:val="72"/>
    </w:rPr>
  </w:style>
  <w:style w:type="paragraph" w:styleId="17">
    <w:name w:val="Date"/>
    <w:basedOn w:val="1"/>
    <w:next w:val="1"/>
    <w:link w:val="40"/>
    <w:autoRedefine/>
    <w:unhideWhenUsed/>
    <w:qFormat/>
    <w:uiPriority w:val="99"/>
    <w:pPr>
      <w:ind w:left="100" w:leftChars="2500"/>
    </w:pPr>
  </w:style>
  <w:style w:type="paragraph" w:styleId="18">
    <w:name w:val="Balloon Text"/>
    <w:basedOn w:val="1"/>
    <w:link w:val="36"/>
    <w:autoRedefine/>
    <w:unhideWhenUsed/>
    <w:qFormat/>
    <w:uiPriority w:val="99"/>
    <w:rPr>
      <w:sz w:val="18"/>
      <w:szCs w:val="18"/>
    </w:rPr>
  </w:style>
  <w:style w:type="paragraph" w:styleId="19">
    <w:name w:val="footer"/>
    <w:basedOn w:val="1"/>
    <w:link w:val="42"/>
    <w:autoRedefine/>
    <w:unhideWhenUsed/>
    <w:qFormat/>
    <w:uiPriority w:val="0"/>
    <w:pPr>
      <w:tabs>
        <w:tab w:val="center" w:pos="4153"/>
        <w:tab w:val="right" w:pos="8306"/>
      </w:tabs>
      <w:snapToGrid w:val="0"/>
      <w:jc w:val="left"/>
    </w:pPr>
    <w:rPr>
      <w:sz w:val="18"/>
      <w:szCs w:val="18"/>
    </w:rPr>
  </w:style>
  <w:style w:type="paragraph" w:styleId="20">
    <w:name w:val="header"/>
    <w:basedOn w:val="1"/>
    <w:link w:val="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List"/>
    <w:basedOn w:val="1"/>
    <w:autoRedefine/>
    <w:semiHidden/>
    <w:unhideWhenUsed/>
    <w:qFormat/>
    <w:uiPriority w:val="99"/>
    <w:pPr>
      <w:ind w:left="200" w:hanging="200" w:hangingChars="200"/>
      <w:contextualSpacing/>
    </w:pPr>
  </w:style>
  <w:style w:type="paragraph" w:styleId="23">
    <w:name w:val="toc 2"/>
    <w:basedOn w:val="1"/>
    <w:next w:val="1"/>
    <w:autoRedefine/>
    <w:unhideWhenUsed/>
    <w:qFormat/>
    <w:uiPriority w:val="39"/>
    <w:pPr>
      <w:ind w:left="420" w:leftChars="200"/>
    </w:pPr>
  </w:style>
  <w:style w:type="paragraph" w:styleId="24">
    <w:name w:val="HTML Preformatted"/>
    <w:basedOn w:val="1"/>
    <w:link w:val="163"/>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autoRedefine/>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9"/>
    <w:autoRedefine/>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autoRedefine/>
    <w:unhideWhenUsed/>
    <w:qFormat/>
    <w:uiPriority w:val="0"/>
    <w:rPr>
      <w:rFonts w:cs="Times New Roman"/>
    </w:rPr>
  </w:style>
  <w:style w:type="character" w:styleId="32">
    <w:name w:val="Hyperlink"/>
    <w:autoRedefine/>
    <w:unhideWhenUsed/>
    <w:qFormat/>
    <w:uiPriority w:val="99"/>
    <w:rPr>
      <w:color w:val="0563C1"/>
      <w:u w:val="single"/>
    </w:rPr>
  </w:style>
  <w:style w:type="character" w:styleId="33">
    <w:name w:val="annotation reference"/>
    <w:autoRedefine/>
    <w:unhideWhenUsed/>
    <w:qFormat/>
    <w:uiPriority w:val="99"/>
    <w:rPr>
      <w:sz w:val="21"/>
      <w:szCs w:val="21"/>
    </w:rPr>
  </w:style>
  <w:style w:type="character" w:customStyle="1" w:styleId="34">
    <w:name w:val="标题 3 Char"/>
    <w:link w:val="5"/>
    <w:autoRedefine/>
    <w:qFormat/>
    <w:locked/>
    <w:uiPriority w:val="0"/>
    <w:rPr>
      <w:rFonts w:ascii="Calibri" w:hAnsi="Calibri" w:eastAsia="仿宋"/>
      <w:b/>
      <w:bCs/>
      <w:kern w:val="2"/>
      <w:sz w:val="32"/>
      <w:szCs w:val="32"/>
      <w:lang w:val="en-US" w:eastAsia="zh-CN" w:bidi="ar-SA"/>
    </w:rPr>
  </w:style>
  <w:style w:type="paragraph" w:customStyle="1" w:styleId="35">
    <w:name w:val="_Style 37"/>
    <w:basedOn w:val="1"/>
    <w:autoRedefine/>
    <w:semiHidden/>
    <w:qFormat/>
    <w:uiPriority w:val="0"/>
    <w:pPr>
      <w:spacing w:line="360" w:lineRule="auto"/>
      <w:ind w:firstLine="200" w:firstLineChars="200"/>
    </w:pPr>
    <w:rPr>
      <w:rFonts w:ascii="宋体" w:hAnsi="宋体" w:cs="宋体"/>
      <w:sz w:val="24"/>
      <w:szCs w:val="24"/>
    </w:rPr>
  </w:style>
  <w:style w:type="character" w:customStyle="1" w:styleId="36">
    <w:name w:val="批注框文本 Char"/>
    <w:link w:val="18"/>
    <w:autoRedefine/>
    <w:semiHidden/>
    <w:qFormat/>
    <w:uiPriority w:val="99"/>
    <w:rPr>
      <w:kern w:val="2"/>
      <w:sz w:val="18"/>
      <w:szCs w:val="18"/>
    </w:rPr>
  </w:style>
  <w:style w:type="character" w:customStyle="1" w:styleId="37">
    <w:name w:val="批注文字 Char"/>
    <w:link w:val="11"/>
    <w:autoRedefine/>
    <w:semiHidden/>
    <w:qFormat/>
    <w:uiPriority w:val="99"/>
    <w:rPr>
      <w:kern w:val="2"/>
      <w:sz w:val="21"/>
      <w:szCs w:val="22"/>
    </w:rPr>
  </w:style>
  <w:style w:type="character" w:customStyle="1" w:styleId="38">
    <w:name w:val="楷体 (中文) 楷体"/>
    <w:autoRedefine/>
    <w:qFormat/>
    <w:uiPriority w:val="0"/>
    <w:rPr>
      <w:rFonts w:ascii="楷体" w:hAnsi="楷体" w:eastAsia="楷体"/>
      <w:kern w:val="1"/>
      <w:sz w:val="28"/>
    </w:rPr>
  </w:style>
  <w:style w:type="character" w:customStyle="1" w:styleId="39">
    <w:name w:val="Char Char3"/>
    <w:autoRedefine/>
    <w:qFormat/>
    <w:uiPriority w:val="0"/>
    <w:rPr>
      <w:rFonts w:eastAsia="仿宋_GB2312"/>
      <w:kern w:val="2"/>
      <w:sz w:val="18"/>
      <w:szCs w:val="18"/>
      <w:lang w:bidi="ar-SA"/>
    </w:rPr>
  </w:style>
  <w:style w:type="character" w:customStyle="1" w:styleId="40">
    <w:name w:val="日期 Char"/>
    <w:link w:val="17"/>
    <w:autoRedefine/>
    <w:semiHidden/>
    <w:qFormat/>
    <w:uiPriority w:val="99"/>
    <w:rPr>
      <w:kern w:val="2"/>
      <w:sz w:val="21"/>
      <w:szCs w:val="22"/>
    </w:rPr>
  </w:style>
  <w:style w:type="character" w:customStyle="1" w:styleId="41">
    <w:name w:val="访问过的超链接1"/>
    <w:autoRedefine/>
    <w:qFormat/>
    <w:uiPriority w:val="99"/>
    <w:rPr>
      <w:color w:val="800080"/>
      <w:u w:val="single"/>
    </w:rPr>
  </w:style>
  <w:style w:type="character" w:customStyle="1" w:styleId="42">
    <w:name w:val="页脚 Char"/>
    <w:link w:val="19"/>
    <w:autoRedefine/>
    <w:qFormat/>
    <w:uiPriority w:val="0"/>
    <w:rPr>
      <w:kern w:val="2"/>
      <w:sz w:val="18"/>
      <w:szCs w:val="18"/>
    </w:rPr>
  </w:style>
  <w:style w:type="character" w:customStyle="1" w:styleId="43">
    <w:name w:val="样式 仿宋"/>
    <w:autoRedefine/>
    <w:qFormat/>
    <w:uiPriority w:val="0"/>
    <w:rPr>
      <w:rFonts w:ascii="仿宋" w:hAnsi="仿宋" w:eastAsia="仿宋"/>
      <w:kern w:val="1"/>
    </w:rPr>
  </w:style>
  <w:style w:type="character" w:customStyle="1" w:styleId="44">
    <w:name w:val="纯文本 Char1"/>
    <w:link w:val="16"/>
    <w:autoRedefine/>
    <w:qFormat/>
    <w:locked/>
    <w:uiPriority w:val="0"/>
    <w:rPr>
      <w:rFonts w:ascii="仿宋" w:hAnsi="仿宋" w:eastAsia="仿宋"/>
      <w:kern w:val="1"/>
      <w:sz w:val="72"/>
      <w:szCs w:val="72"/>
    </w:rPr>
  </w:style>
  <w:style w:type="character" w:customStyle="1" w:styleId="45">
    <w:name w:val="标题 Char"/>
    <w:link w:val="26"/>
    <w:autoRedefine/>
    <w:qFormat/>
    <w:uiPriority w:val="0"/>
    <w:rPr>
      <w:rFonts w:ascii="Cambria" w:hAnsi="Cambria" w:eastAsia="宋体"/>
      <w:b/>
      <w:bCs/>
      <w:kern w:val="2"/>
      <w:sz w:val="32"/>
      <w:szCs w:val="32"/>
      <w:lang w:val="en-US" w:eastAsia="zh-CN" w:bidi="ar-SA"/>
    </w:rPr>
  </w:style>
  <w:style w:type="character" w:customStyle="1" w:styleId="46">
    <w:name w:val="Char Char2"/>
    <w:autoRedefine/>
    <w:qFormat/>
    <w:uiPriority w:val="0"/>
    <w:rPr>
      <w:rFonts w:eastAsia="仿宋_GB2312"/>
      <w:kern w:val="2"/>
      <w:sz w:val="18"/>
      <w:szCs w:val="18"/>
      <w:lang w:bidi="ar-SA"/>
    </w:rPr>
  </w:style>
  <w:style w:type="character" w:customStyle="1" w:styleId="47">
    <w:name w:val="正文文本 3 Char"/>
    <w:link w:val="12"/>
    <w:autoRedefine/>
    <w:semiHidden/>
    <w:qFormat/>
    <w:uiPriority w:val="99"/>
    <w:rPr>
      <w:kern w:val="2"/>
      <w:sz w:val="16"/>
      <w:szCs w:val="16"/>
    </w:rPr>
  </w:style>
  <w:style w:type="character" w:customStyle="1" w:styleId="48">
    <w:name w:val="正文文本缩进 Char1"/>
    <w:autoRedefine/>
    <w:qFormat/>
    <w:uiPriority w:val="0"/>
    <w:rPr>
      <w:rFonts w:ascii="Cambria" w:hAnsi="Cambria"/>
      <w:kern w:val="2"/>
      <w:sz w:val="24"/>
      <w:szCs w:val="24"/>
    </w:rPr>
  </w:style>
  <w:style w:type="character" w:customStyle="1" w:styleId="49">
    <w:name w:val="批注主题 Char"/>
    <w:link w:val="27"/>
    <w:autoRedefine/>
    <w:semiHidden/>
    <w:qFormat/>
    <w:uiPriority w:val="99"/>
    <w:rPr>
      <w:b/>
      <w:bCs/>
      <w:kern w:val="2"/>
      <w:sz w:val="21"/>
      <w:szCs w:val="22"/>
    </w:rPr>
  </w:style>
  <w:style w:type="character" w:customStyle="1" w:styleId="50">
    <w:name w:val="纯文本 Char"/>
    <w:autoRedefine/>
    <w:semiHidden/>
    <w:qFormat/>
    <w:uiPriority w:val="99"/>
    <w:rPr>
      <w:rFonts w:ascii="宋体" w:hAnsi="Courier New" w:cs="Courier New"/>
      <w:kern w:val="2"/>
      <w:sz w:val="21"/>
      <w:szCs w:val="21"/>
    </w:rPr>
  </w:style>
  <w:style w:type="character" w:customStyle="1" w:styleId="51">
    <w:name w:val="页眉 Char"/>
    <w:link w:val="20"/>
    <w:autoRedefine/>
    <w:qFormat/>
    <w:uiPriority w:val="99"/>
    <w:rPr>
      <w:kern w:val="2"/>
      <w:sz w:val="18"/>
      <w:szCs w:val="18"/>
    </w:rPr>
  </w:style>
  <w:style w:type="character" w:customStyle="1" w:styleId="52">
    <w:name w:val="Char Char1"/>
    <w:autoRedefine/>
    <w:qFormat/>
    <w:uiPriority w:val="0"/>
    <w:rPr>
      <w:rFonts w:eastAsia="仿宋_GB2312"/>
      <w:kern w:val="2"/>
      <w:sz w:val="18"/>
      <w:szCs w:val="18"/>
      <w:lang w:bidi="ar-SA"/>
    </w:rPr>
  </w:style>
  <w:style w:type="paragraph" w:customStyle="1" w:styleId="53">
    <w:name w:val="列出段落1"/>
    <w:basedOn w:val="1"/>
    <w:autoRedefine/>
    <w:qFormat/>
    <w:uiPriority w:val="0"/>
    <w:pPr>
      <w:ind w:firstLine="420" w:firstLineChars="200"/>
    </w:pPr>
    <w:rPr>
      <w:szCs w:val="21"/>
    </w:rPr>
  </w:style>
  <w:style w:type="paragraph" w:customStyle="1" w:styleId="54">
    <w:name w:val="样式 标题 1 + (西文) 黑体 (中文) 黑体 小三 蓝色"/>
    <w:basedOn w:val="2"/>
    <w:autoRedefine/>
    <w:qFormat/>
    <w:uiPriority w:val="0"/>
    <w:rPr>
      <w:rFonts w:ascii="黑体" w:hAnsi="黑体" w:eastAsia="黑体"/>
      <w:sz w:val="30"/>
      <w:u w:color="0000FF"/>
    </w:rPr>
  </w:style>
  <w:style w:type="paragraph" w:customStyle="1" w:styleId="55">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6">
    <w:name w:val="样式 样式 标题 1 + (西文) 黑体 (中文) 黑体 小三 蓝色 + 非加粗 居中"/>
    <w:basedOn w:val="54"/>
    <w:autoRedefine/>
    <w:qFormat/>
    <w:uiPriority w:val="0"/>
    <w:pPr>
      <w:jc w:val="center"/>
    </w:pPr>
    <w:rPr>
      <w:rFonts w:cs="宋体"/>
      <w:b w:val="0"/>
      <w:bCs w:val="0"/>
      <w:szCs w:val="20"/>
    </w:rPr>
  </w:style>
  <w:style w:type="paragraph" w:customStyle="1" w:styleId="57">
    <w:name w:val="Char Char Char1 Char"/>
    <w:basedOn w:val="1"/>
    <w:autoRedefine/>
    <w:semiHidden/>
    <w:qFormat/>
    <w:uiPriority w:val="0"/>
    <w:pPr>
      <w:spacing w:line="360" w:lineRule="auto"/>
      <w:ind w:firstLine="200" w:firstLineChars="200"/>
    </w:pPr>
    <w:rPr>
      <w:rFonts w:ascii="宋体" w:hAnsi="宋体" w:cs="宋体"/>
      <w:sz w:val="24"/>
      <w:szCs w:val="24"/>
    </w:rPr>
  </w:style>
  <w:style w:type="paragraph" w:customStyle="1" w:styleId="58">
    <w:name w:val="仿宋"/>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9">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60">
    <w:name w:val="TOC 21"/>
    <w:basedOn w:val="1"/>
    <w:next w:val="1"/>
    <w:autoRedefine/>
    <w:unhideWhenUsed/>
    <w:qFormat/>
    <w:uiPriority w:val="39"/>
    <w:pPr>
      <w:spacing w:line="380" w:lineRule="exact"/>
      <w:ind w:left="200" w:leftChars="200"/>
      <w:jc w:val="distribute"/>
    </w:pPr>
  </w:style>
  <w:style w:type="paragraph" w:customStyle="1" w:styleId="61">
    <w:name w:val="样式3"/>
    <w:basedOn w:val="2"/>
    <w:autoRedefine/>
    <w:qFormat/>
    <w:uiPriority w:val="0"/>
    <w:rPr>
      <w:kern w:val="1"/>
      <w:sz w:val="30"/>
    </w:rPr>
  </w:style>
  <w:style w:type="paragraph" w:customStyle="1" w:styleId="6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64">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OC 11"/>
    <w:basedOn w:val="1"/>
    <w:next w:val="1"/>
    <w:autoRedefine/>
    <w:unhideWhenUsed/>
    <w:qFormat/>
    <w:uiPriority w:val="39"/>
    <w:pPr>
      <w:spacing w:line="380" w:lineRule="exact"/>
      <w:jc w:val="distribute"/>
    </w:pPr>
    <w:rPr>
      <w:rFonts w:eastAsia="黑体"/>
    </w:rPr>
  </w:style>
  <w:style w:type="paragraph" w:customStyle="1" w:styleId="66">
    <w:name w:val="样式2"/>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7">
    <w:name w:val="_Style 8"/>
    <w:basedOn w:val="1"/>
    <w:autoRedefine/>
    <w:qFormat/>
    <w:uiPriority w:val="0"/>
    <w:pPr>
      <w:tabs>
        <w:tab w:val="left" w:pos="360"/>
      </w:tabs>
    </w:pPr>
    <w:rPr>
      <w:sz w:val="24"/>
      <w:szCs w:val="24"/>
    </w:rPr>
  </w:style>
  <w:style w:type="paragraph" w:customStyle="1" w:styleId="68">
    <w:name w:val="样式１"/>
    <w:basedOn w:val="2"/>
    <w:autoRedefine/>
    <w:qFormat/>
    <w:uiPriority w:val="0"/>
    <w:pPr>
      <w:jc w:val="center"/>
    </w:pPr>
    <w:rPr>
      <w:kern w:val="1"/>
      <w:sz w:val="30"/>
    </w:rPr>
  </w:style>
  <w:style w:type="paragraph" w:customStyle="1" w:styleId="69">
    <w:name w:val="Char Char Char1 Char8"/>
    <w:basedOn w:val="1"/>
    <w:autoRedefine/>
    <w:semiHidden/>
    <w:qFormat/>
    <w:uiPriority w:val="0"/>
    <w:pPr>
      <w:spacing w:line="360" w:lineRule="auto"/>
      <w:ind w:firstLine="200" w:firstLineChars="200"/>
    </w:pPr>
    <w:rPr>
      <w:rFonts w:ascii="宋体" w:hAnsi="宋体" w:cs="宋体"/>
      <w:sz w:val="24"/>
      <w:szCs w:val="24"/>
    </w:rPr>
  </w:style>
  <w:style w:type="paragraph" w:customStyle="1" w:styleId="70">
    <w:name w:val="样式1"/>
    <w:basedOn w:val="1"/>
    <w:autoRedefine/>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1">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2">
    <w:name w:val="Char Char Char Char Char Char Char"/>
    <w:basedOn w:val="1"/>
    <w:autoRedefine/>
    <w:qFormat/>
    <w:uiPriority w:val="0"/>
    <w:pPr>
      <w:spacing w:line="240" w:lineRule="atLeast"/>
      <w:ind w:left="420" w:firstLine="420"/>
    </w:pPr>
    <w:rPr>
      <w:kern w:val="0"/>
      <w:szCs w:val="21"/>
    </w:rPr>
  </w:style>
  <w:style w:type="paragraph" w:customStyle="1" w:styleId="73">
    <w:name w:val="Char Char Char Char"/>
    <w:basedOn w:val="1"/>
    <w:autoRedefine/>
    <w:qFormat/>
    <w:uiPriority w:val="0"/>
    <w:rPr>
      <w:szCs w:val="20"/>
    </w:rPr>
  </w:style>
  <w:style w:type="paragraph" w:customStyle="1" w:styleId="74">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7"/>
    <w:basedOn w:val="1"/>
    <w:autoRedefine/>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8">
    <w:name w:val="font8"/>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79">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2">
    <w:name w:val="font12"/>
    <w:basedOn w:val="1"/>
    <w:autoRedefine/>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7">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8">
    <w:name w:val="xl103"/>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99">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0">
    <w:name w:val="xl105"/>
    <w:basedOn w:val="1"/>
    <w:autoRedefine/>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1">
    <w:name w:val="xl10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xl111"/>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7">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8">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1">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7"/>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3">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139"/>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0">
    <w:name w:val="xl7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1">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4">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6">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4">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5">
    <w:name w:val="xl8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Table Paragraph"/>
    <w:basedOn w:val="1"/>
    <w:autoRedefine/>
    <w:qFormat/>
    <w:uiPriority w:val="1"/>
    <w:pPr>
      <w:spacing w:before="37"/>
      <w:ind w:left="142"/>
      <w:jc w:val="center"/>
    </w:pPr>
    <w:rPr>
      <w:rFonts w:ascii="黑体" w:hAnsi="黑体" w:eastAsia="黑体" w:cs="黑体"/>
      <w:lang w:val="zh-CN" w:bidi="zh-CN"/>
    </w:rPr>
  </w:style>
  <w:style w:type="paragraph" w:styleId="158">
    <w:name w:val="List Paragraph"/>
    <w:basedOn w:val="1"/>
    <w:autoRedefine/>
    <w:qFormat/>
    <w:uiPriority w:val="0"/>
    <w:pPr>
      <w:ind w:firstLine="420" w:firstLineChars="200"/>
    </w:pPr>
    <w:rPr>
      <w:rFonts w:asciiTheme="minorHAnsi" w:hAnsiTheme="minorHAnsi" w:eastAsiaTheme="minorEastAsia" w:cstheme="minorBidi"/>
    </w:rPr>
  </w:style>
  <w:style w:type="character" w:customStyle="1" w:styleId="159">
    <w:name w:val="标题 5 Char"/>
    <w:basedOn w:val="30"/>
    <w:link w:val="7"/>
    <w:autoRedefine/>
    <w:semiHidden/>
    <w:qFormat/>
    <w:uiPriority w:val="9"/>
    <w:rPr>
      <w:b/>
      <w:bCs/>
      <w:kern w:val="2"/>
      <w:sz w:val="28"/>
      <w:szCs w:val="28"/>
    </w:rPr>
  </w:style>
  <w:style w:type="character" w:customStyle="1" w:styleId="160">
    <w:name w:val="标题 4 Char"/>
    <w:basedOn w:val="30"/>
    <w:link w:val="6"/>
    <w:autoRedefine/>
    <w:semiHidden/>
    <w:qFormat/>
    <w:uiPriority w:val="9"/>
    <w:rPr>
      <w:rFonts w:asciiTheme="majorHAnsi" w:hAnsiTheme="majorHAnsi" w:eastAsiaTheme="majorEastAsia" w:cstheme="majorBidi"/>
      <w:b/>
      <w:bCs/>
      <w:kern w:val="2"/>
      <w:sz w:val="28"/>
      <w:szCs w:val="28"/>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autoRedefine/>
    <w:qFormat/>
    <w:uiPriority w:val="0"/>
    <w:pPr>
      <w:widowControl/>
    </w:pPr>
    <w:rPr>
      <w:kern w:val="0"/>
      <w:szCs w:val="21"/>
    </w:rPr>
  </w:style>
  <w:style w:type="character" w:customStyle="1" w:styleId="163">
    <w:name w:val="HTML 预设格式 Char"/>
    <w:basedOn w:val="30"/>
    <w:link w:val="24"/>
    <w:autoRedefine/>
    <w:qFormat/>
    <w:uiPriority w:val="99"/>
    <w:rPr>
      <w:rFonts w:ascii="宋体" w:hAnsi="宋体" w:cs="宋体"/>
      <w:sz w:val="24"/>
      <w:szCs w:val="24"/>
    </w:rPr>
  </w:style>
  <w:style w:type="paragraph" w:customStyle="1" w:styleId="164">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5">
    <w:name w:val="font21"/>
    <w:basedOn w:val="30"/>
    <w:autoRedefine/>
    <w:qFormat/>
    <w:uiPriority w:val="0"/>
    <w:rPr>
      <w:rFonts w:hint="eastAsia" w:ascii="宋体" w:hAnsi="宋体" w:eastAsia="宋体" w:cs="宋体"/>
      <w:color w:val="000000"/>
      <w:sz w:val="18"/>
      <w:szCs w:val="18"/>
      <w:u w:val="none"/>
    </w:rPr>
  </w:style>
  <w:style w:type="table" w:customStyle="1" w:styleId="16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33F7C-7263-4898-8123-09E68359D71C}">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10</Pages>
  <Words>3459</Words>
  <Characters>3788</Characters>
  <Lines>97</Lines>
  <Paragraphs>27</Paragraphs>
  <TotalTime>10</TotalTime>
  <ScaleCrop>false</ScaleCrop>
  <LinksUpToDate>false</LinksUpToDate>
  <CharactersWithSpaces>4052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2023-08-30T06:33:00Z</dcterms:created>
  <dc:creator>市政务服务办</dc:creator>
  <cp:lastModifiedBy>Administrator</cp:lastModifiedBy>
  <cp:lastPrinted>2025-03-25T02:34:00Z</cp:lastPrinted>
  <dcterms:modified xsi:type="dcterms:W3CDTF">2025-05-16T01:22:52Z</dcterms:modified>
  <dc:subject>青岛市政府采购采购文件范本</dc:subject>
  <dc:title>青岛市政府采购采购文件范本</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48AC9C416E5743568F7C620748F6F4AE_13</vt:lpwstr>
  </property>
  <property fmtid="{D5CDD505-2E9C-101B-9397-08002B2CF9AE}" pid="4" name="KSOTemplateDocerSaveRecord">
    <vt:lpwstr>eyJoZGlkIjoiMWYxYTdhZTcyYjMyZTdhYzVkYzFmZDE0YjY3NWZjODEifQ==</vt:lpwstr>
  </property>
</Properties>
</file>