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74626">
      <w:pPr>
        <w:pStyle w:val="2"/>
        <w:jc w:val="center"/>
        <w:rPr>
          <w:rFonts w:ascii="黑体" w:hAnsi="黑体" w:eastAsia="黑体"/>
          <w:sz w:val="32"/>
          <w:szCs w:val="32"/>
          <w:highlight w:val="none"/>
        </w:rPr>
      </w:pPr>
      <w:bookmarkStart w:id="0" w:name="_Toc134452747"/>
      <w:bookmarkStart w:id="1" w:name="_Toc28803"/>
      <w:bookmarkStart w:id="2" w:name="_Toc10989"/>
      <w:r>
        <w:rPr>
          <w:rFonts w:hint="eastAsia" w:ascii="黑体" w:hAnsi="黑体" w:eastAsia="黑体"/>
          <w:sz w:val="32"/>
          <w:szCs w:val="32"/>
          <w:highlight w:val="none"/>
        </w:rPr>
        <w:t>采购公告</w:t>
      </w:r>
      <w:bookmarkEnd w:id="0"/>
      <w:bookmarkEnd w:id="1"/>
      <w:bookmarkEnd w:id="2"/>
    </w:p>
    <w:p w14:paraId="2A9DAC9B">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我公司现对高新区5号能源站一期变配电室工程等项目及高压线路维修使用电力电缆进行采购，欢迎符合条件的供应商参加，具体要求如下：</w:t>
      </w:r>
    </w:p>
    <w:p w14:paraId="1AC1D901">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eastAsia"/>
          <w:highlight w:val="none"/>
        </w:rPr>
      </w:pPr>
      <w:r>
        <w:rPr>
          <w:rFonts w:hint="eastAsia"/>
          <w:highlight w:val="none"/>
          <w:lang w:val="en-US" w:eastAsia="zh-CN"/>
        </w:rPr>
        <w:t>1.</w:t>
      </w:r>
      <w:r>
        <w:rPr>
          <w:rFonts w:hint="eastAsia"/>
          <w:highlight w:val="none"/>
        </w:rPr>
        <w:t>项目名称：</w:t>
      </w:r>
      <w:bookmarkStart w:id="39" w:name="_GoBack"/>
      <w:r>
        <w:rPr>
          <w:rFonts w:hint="eastAsia"/>
          <w:highlight w:val="none"/>
        </w:rPr>
        <w:t>高新区5号能源站一期变配电室工程等项目及高压线路维修使用电力电缆采购</w:t>
      </w:r>
      <w:bookmarkEnd w:id="39"/>
    </w:p>
    <w:p w14:paraId="0FA36075">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highlight w:val="none"/>
        </w:rPr>
      </w:pPr>
      <w:r>
        <w:rPr>
          <w:rFonts w:hint="eastAsia"/>
          <w:highlight w:val="none"/>
        </w:rPr>
        <w:t>2.项目地点：采购人指定地点。</w:t>
      </w:r>
    </w:p>
    <w:p w14:paraId="51254499">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3.采购内容：详见采购需求。</w:t>
      </w:r>
    </w:p>
    <w:p w14:paraId="302E5001">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4.采购控制价</w:t>
      </w:r>
    </w:p>
    <w:p w14:paraId="4E46F8EC">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Times New Roman"/>
          <w:kern w:val="2"/>
          <w:sz w:val="28"/>
          <w:szCs w:val="28"/>
          <w:highlight w:val="none"/>
          <w:lang w:val="en-US" w:eastAsia="zh-CN" w:bidi="ar-SA"/>
        </w:rPr>
      </w:pPr>
      <w:r>
        <w:rPr>
          <w:rFonts w:hint="eastAsia"/>
          <w:highlight w:val="none"/>
        </w:rPr>
        <w:t xml:space="preserve"> </w:t>
      </w:r>
      <w:r>
        <w:rPr>
          <w:rFonts w:hint="eastAsia" w:ascii="仿宋" w:hAnsi="仿宋" w:eastAsia="仿宋" w:cs="Times New Roman"/>
          <w:kern w:val="2"/>
          <w:sz w:val="28"/>
          <w:szCs w:val="28"/>
          <w:highlight w:val="none"/>
          <w:lang w:val="en-US" w:eastAsia="zh-CN" w:bidi="ar-SA"/>
        </w:rPr>
        <w:t xml:space="preserve">   第一包：565387.14元（含税价，增值税税率为13%）；</w:t>
      </w:r>
    </w:p>
    <w:p w14:paraId="093F82B6">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第二包：</w:t>
      </w:r>
      <w:r>
        <w:rPr>
          <w:rFonts w:hint="eastAsia"/>
          <w:highlight w:val="none"/>
          <w:lang w:val="en-US" w:eastAsia="zh-CN"/>
        </w:rPr>
        <w:t>289277.75</w:t>
      </w:r>
      <w:r>
        <w:rPr>
          <w:rFonts w:hint="eastAsia"/>
          <w:highlight w:val="none"/>
        </w:rPr>
        <w:t>元（含税价，增值税税率为13%）。</w:t>
      </w:r>
    </w:p>
    <w:p w14:paraId="46B93DE5">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5.供应商资格要求</w:t>
      </w:r>
    </w:p>
    <w:p w14:paraId="1E7EDAAC">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5.1供应商必须具有独立法人资格,各供应商不得有企业关联或股权关系。</w:t>
      </w:r>
    </w:p>
    <w:p w14:paraId="59B072E5">
      <w:pPr>
        <w:pStyle w:val="16"/>
        <w:pageBreakBefore w:val="0"/>
        <w:tabs>
          <w:tab w:val="left" w:pos="142"/>
        </w:tabs>
        <w:kinsoku/>
        <w:wordWrap/>
        <w:overflowPunct/>
        <w:topLinePunct w:val="0"/>
        <w:autoSpaceDE/>
        <w:autoSpaceDN/>
        <w:bidi w:val="0"/>
        <w:adjustRightInd/>
        <w:snapToGrid/>
        <w:spacing w:line="560" w:lineRule="exact"/>
        <w:ind w:firstLine="560" w:firstLineChars="200"/>
        <w:textAlignment w:val="auto"/>
        <w:rPr>
          <w:color w:val="FF0000"/>
          <w:highlight w:val="none"/>
        </w:rPr>
      </w:pPr>
      <w:r>
        <w:rPr>
          <w:rFonts w:hint="eastAsia"/>
          <w:highlight w:val="none"/>
        </w:rPr>
        <w:t>5.2供应商必须具备相关营业资格,所提供的产品必须符合国家、行业标准相关要求，相关主材必须具备国家认可的型式试验报告，并在人员、设备、技术、资金等方面具备相应的能力。</w:t>
      </w:r>
    </w:p>
    <w:p w14:paraId="0BDB72C4">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5.3采购公告发布之日前三年内无行贿犯罪等重大违法记录。</w:t>
      </w:r>
    </w:p>
    <w:p w14:paraId="321EC86B">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bookmarkStart w:id="3" w:name="_Toc521332562"/>
      <w:r>
        <w:rPr>
          <w:rFonts w:hint="eastAsia"/>
          <w:highlight w:val="none"/>
        </w:rPr>
        <w:t xml:space="preserve">    5.4通过“信用中国”网站（www.creditchina.gov.cn）、中国政府采购网（www.ccgp.gov.cn）查询，未被列入失信被执行人、重大税收违法案件当事人、政府采购严重违法失信行为记录名单。</w:t>
      </w:r>
    </w:p>
    <w:bookmarkEnd w:id="3"/>
    <w:p w14:paraId="3C53CF35">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6.资格预审及采购文件的获取</w:t>
      </w:r>
    </w:p>
    <w:p w14:paraId="476F5548">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color w:val="0000FF"/>
          <w:highlight w:val="none"/>
        </w:rPr>
      </w:pPr>
      <w:r>
        <w:rPr>
          <w:rFonts w:hint="eastAsia"/>
          <w:highlight w:val="none"/>
        </w:rPr>
        <w:t xml:space="preserve">    6.1截止时间：</w:t>
      </w:r>
      <w:r>
        <w:rPr>
          <w:highlight w:val="none"/>
        </w:rPr>
        <w:t>202</w:t>
      </w:r>
      <w:r>
        <w:rPr>
          <w:rFonts w:hint="eastAsia"/>
          <w:highlight w:val="none"/>
        </w:rPr>
        <w:t>5</w:t>
      </w:r>
      <w:r>
        <w:rPr>
          <w:highlight w:val="none"/>
        </w:rPr>
        <w:t>年</w:t>
      </w:r>
      <w:r>
        <w:rPr>
          <w:rFonts w:hint="eastAsia"/>
          <w:highlight w:val="none"/>
          <w:lang w:val="en-US" w:eastAsia="zh-CN"/>
        </w:rPr>
        <w:t>5</w:t>
      </w:r>
      <w:r>
        <w:rPr>
          <w:highlight w:val="none"/>
        </w:rPr>
        <w:t>月</w:t>
      </w:r>
      <w:r>
        <w:rPr>
          <w:rFonts w:hint="eastAsia"/>
          <w:highlight w:val="none"/>
          <w:lang w:val="en-US" w:eastAsia="zh-CN"/>
        </w:rPr>
        <w:t>29</w:t>
      </w:r>
      <w:r>
        <w:rPr>
          <w:highlight w:val="none"/>
        </w:rPr>
        <w:t>日</w:t>
      </w:r>
      <w:r>
        <w:rPr>
          <w:rFonts w:hint="eastAsia"/>
          <w:highlight w:val="none"/>
        </w:rPr>
        <w:t>1</w:t>
      </w:r>
      <w:r>
        <w:rPr>
          <w:rFonts w:hint="eastAsia"/>
          <w:highlight w:val="none"/>
          <w:lang w:val="en-US" w:eastAsia="zh-CN"/>
        </w:rPr>
        <w:t>2</w:t>
      </w:r>
      <w:r>
        <w:rPr>
          <w:highlight w:val="none"/>
        </w:rPr>
        <w:t>时00分</w:t>
      </w:r>
      <w:r>
        <w:rPr>
          <w:rFonts w:hint="eastAsia"/>
          <w:highlight w:val="none"/>
        </w:rPr>
        <w:t>。</w:t>
      </w:r>
    </w:p>
    <w:p w14:paraId="1E73C094">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6.2预审方式：供应商将资格审查所需材料附在一个文档里，在截止时间前发送至邮箱：gaoxinshuidian@163.com。邮件标题为</w:t>
      </w:r>
      <w:r>
        <w:rPr>
          <w:rFonts w:hint="eastAsia"/>
          <w:b/>
          <w:bCs/>
          <w:highlight w:val="none"/>
        </w:rPr>
        <w:t>供应商名称+项目名称+第*包</w:t>
      </w:r>
      <w:r>
        <w:rPr>
          <w:rFonts w:hint="eastAsia"/>
          <w:highlight w:val="none"/>
        </w:rPr>
        <w:t>，正文备注</w:t>
      </w:r>
      <w:r>
        <w:rPr>
          <w:rFonts w:hint="eastAsia"/>
          <w:b/>
          <w:bCs/>
          <w:highlight w:val="none"/>
        </w:rPr>
        <w:t>联系人、联系方式、采购文件接收邮箱地址</w:t>
      </w:r>
      <w:r>
        <w:rPr>
          <w:rFonts w:hint="eastAsia"/>
          <w:highlight w:val="none"/>
        </w:rPr>
        <w:t>。</w:t>
      </w:r>
      <w:r>
        <w:rPr>
          <w:rStyle w:val="38"/>
          <w:rFonts w:hint="eastAsia" w:ascii="仿宋" w:hAnsi="仿宋" w:eastAsia="仿宋" w:cs="仿宋"/>
          <w:highlight w:val="none"/>
        </w:rPr>
        <w:t>由采购人受理后，通过邮箱向审查合格的供应商发放采购文件。</w:t>
      </w:r>
    </w:p>
    <w:p w14:paraId="4579CB70">
      <w:pPr>
        <w:pStyle w:val="16"/>
        <w:pageBreakBefore w:val="0"/>
        <w:tabs>
          <w:tab w:val="left" w:pos="142"/>
        </w:tabs>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型式试验报告等材料，以上材料均需加盖供应商公章。</w:t>
      </w:r>
    </w:p>
    <w:p w14:paraId="14480D50">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7.响应文件递交时间以及地点</w:t>
      </w:r>
    </w:p>
    <w:p w14:paraId="7627A9B2">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7.1时间：</w:t>
      </w:r>
      <w:r>
        <w:rPr>
          <w:highlight w:val="none"/>
        </w:rPr>
        <w:t>20</w:t>
      </w:r>
      <w:r>
        <w:rPr>
          <w:rFonts w:hint="eastAsia"/>
          <w:highlight w:val="none"/>
        </w:rPr>
        <w:t>25</w:t>
      </w:r>
      <w:r>
        <w:rPr>
          <w:highlight w:val="none"/>
        </w:rPr>
        <w:t>年</w:t>
      </w:r>
      <w:r>
        <w:rPr>
          <w:rFonts w:hint="eastAsia"/>
          <w:highlight w:val="none"/>
          <w:lang w:val="en-US" w:eastAsia="zh-CN"/>
        </w:rPr>
        <w:t>6</w:t>
      </w:r>
      <w:r>
        <w:rPr>
          <w:highlight w:val="none"/>
        </w:rPr>
        <w:t>月</w:t>
      </w:r>
      <w:r>
        <w:rPr>
          <w:rFonts w:hint="eastAsia"/>
          <w:highlight w:val="none"/>
          <w:lang w:val="en-US" w:eastAsia="zh-CN"/>
        </w:rPr>
        <w:t>5</w:t>
      </w:r>
      <w:r>
        <w:rPr>
          <w:highlight w:val="none"/>
        </w:rPr>
        <w:t>日</w:t>
      </w:r>
      <w:r>
        <w:rPr>
          <w:rFonts w:hint="eastAsia"/>
          <w:highlight w:val="none"/>
          <w:lang w:val="en-US" w:eastAsia="zh-CN"/>
        </w:rPr>
        <w:t>8</w:t>
      </w:r>
      <w:r>
        <w:rPr>
          <w:highlight w:val="none"/>
        </w:rPr>
        <w:t>时</w:t>
      </w:r>
      <w:r>
        <w:rPr>
          <w:rFonts w:hint="eastAsia"/>
          <w:highlight w:val="none"/>
          <w:lang w:val="en-US" w:eastAsia="zh-CN"/>
        </w:rPr>
        <w:t>30</w:t>
      </w:r>
      <w:r>
        <w:rPr>
          <w:highlight w:val="none"/>
        </w:rPr>
        <w:t>分至</w:t>
      </w:r>
      <w:r>
        <w:rPr>
          <w:rFonts w:hint="eastAsia"/>
          <w:highlight w:val="none"/>
        </w:rPr>
        <w:t>9</w:t>
      </w:r>
      <w:r>
        <w:rPr>
          <w:highlight w:val="none"/>
        </w:rPr>
        <w:t>时</w:t>
      </w:r>
      <w:r>
        <w:rPr>
          <w:rFonts w:hint="eastAsia"/>
          <w:highlight w:val="none"/>
          <w:lang w:val="en-US" w:eastAsia="zh-CN"/>
        </w:rPr>
        <w:t>00</w:t>
      </w:r>
      <w:r>
        <w:rPr>
          <w:highlight w:val="none"/>
        </w:rPr>
        <w:t>分。</w:t>
      </w:r>
    </w:p>
    <w:p w14:paraId="1C84BE84">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7.2地点：青岛市高新区聚贤桥路50号高实集团8楼801会议室。</w:t>
      </w:r>
    </w:p>
    <w:p w14:paraId="1D84AF4C">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8.磋商时间以及地点</w:t>
      </w:r>
    </w:p>
    <w:p w14:paraId="0885DB2B">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8.1时间：</w:t>
      </w:r>
      <w:r>
        <w:rPr>
          <w:highlight w:val="none"/>
        </w:rPr>
        <w:t>202</w:t>
      </w:r>
      <w:r>
        <w:rPr>
          <w:rFonts w:hint="eastAsia"/>
          <w:highlight w:val="none"/>
        </w:rPr>
        <w:t>5</w:t>
      </w:r>
      <w:r>
        <w:rPr>
          <w:highlight w:val="none"/>
        </w:rPr>
        <w:t>年</w:t>
      </w:r>
      <w:r>
        <w:rPr>
          <w:rFonts w:hint="eastAsia"/>
          <w:highlight w:val="none"/>
          <w:lang w:val="en-US" w:eastAsia="zh-CN"/>
        </w:rPr>
        <w:t>6</w:t>
      </w:r>
      <w:r>
        <w:rPr>
          <w:highlight w:val="none"/>
        </w:rPr>
        <w:t>月</w:t>
      </w:r>
      <w:r>
        <w:rPr>
          <w:rFonts w:hint="eastAsia"/>
          <w:highlight w:val="none"/>
          <w:lang w:val="en-US" w:eastAsia="zh-CN"/>
        </w:rPr>
        <w:t>5</w:t>
      </w:r>
      <w:r>
        <w:rPr>
          <w:highlight w:val="none"/>
        </w:rPr>
        <w:t>日</w:t>
      </w:r>
      <w:r>
        <w:rPr>
          <w:rFonts w:hint="eastAsia"/>
          <w:highlight w:val="none"/>
        </w:rPr>
        <w:t>9</w:t>
      </w:r>
      <w:r>
        <w:rPr>
          <w:highlight w:val="none"/>
        </w:rPr>
        <w:t>时</w:t>
      </w:r>
      <w:r>
        <w:rPr>
          <w:rFonts w:hint="eastAsia"/>
          <w:highlight w:val="none"/>
          <w:lang w:val="en-US" w:eastAsia="zh-CN"/>
        </w:rPr>
        <w:t>00</w:t>
      </w:r>
      <w:r>
        <w:rPr>
          <w:highlight w:val="none"/>
        </w:rPr>
        <w:t>分。</w:t>
      </w:r>
    </w:p>
    <w:p w14:paraId="648DAB97">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8.2地点：青岛市高新区聚贤桥路50号高实集团8楼801会议室。</w:t>
      </w:r>
    </w:p>
    <w:p w14:paraId="2C69852E">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9.联系方式</w:t>
      </w:r>
    </w:p>
    <w:p w14:paraId="64FE764A">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9.1采购人：青岛高新电力发展有限公司</w:t>
      </w:r>
    </w:p>
    <w:p w14:paraId="13264086">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联 系 人：纪虹延</w:t>
      </w:r>
    </w:p>
    <w:p w14:paraId="5644F6A6">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电    话：0532-68687097</w:t>
      </w:r>
    </w:p>
    <w:p w14:paraId="3FE949FA">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地    址：青岛市高新区聚贤桥路50号高实集团10楼</w:t>
      </w:r>
    </w:p>
    <w:p w14:paraId="1E2028E4">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14:paraId="038A30BF">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highlight w:val="none"/>
        </w:rPr>
        <w:t xml:space="preserve">                                              2025年</w:t>
      </w:r>
      <w:r>
        <w:rPr>
          <w:rFonts w:hint="eastAsia"/>
          <w:highlight w:val="none"/>
          <w:lang w:val="en-US" w:eastAsia="zh-CN"/>
        </w:rPr>
        <w:t>5</w:t>
      </w:r>
      <w:r>
        <w:rPr>
          <w:rFonts w:hint="eastAsia"/>
          <w:highlight w:val="none"/>
        </w:rPr>
        <w:t>月</w:t>
      </w:r>
      <w:r>
        <w:rPr>
          <w:rFonts w:hint="eastAsia"/>
          <w:highlight w:val="none"/>
          <w:lang w:val="en-US" w:eastAsia="zh-CN"/>
        </w:rPr>
        <w:t>27</w:t>
      </w:r>
      <w:r>
        <w:rPr>
          <w:rFonts w:hint="eastAsia"/>
          <w:highlight w:val="none"/>
        </w:rPr>
        <w:t>日</w:t>
      </w:r>
      <w:bookmarkStart w:id="4" w:name="_Toc134452748"/>
    </w:p>
    <w:p w14:paraId="5BB319D3">
      <w:pPr>
        <w:widowControl/>
        <w:jc w:val="left"/>
        <w:rPr>
          <w:rFonts w:ascii="黑体" w:hAnsi="黑体" w:eastAsia="黑体" w:cs="黑体"/>
          <w:bCs/>
          <w:sz w:val="32"/>
          <w:szCs w:val="32"/>
          <w:highlight w:val="none"/>
        </w:rPr>
      </w:pPr>
      <w:r>
        <w:rPr>
          <w:rFonts w:ascii="黑体" w:hAnsi="黑体" w:eastAsia="黑体" w:cs="黑体"/>
          <w:bCs/>
          <w:sz w:val="32"/>
          <w:szCs w:val="32"/>
          <w:highlight w:val="none"/>
        </w:rPr>
        <w:br w:type="page"/>
      </w:r>
    </w:p>
    <w:bookmarkEnd w:id="4"/>
    <w:p w14:paraId="3E72A04B">
      <w:pPr>
        <w:spacing w:line="520" w:lineRule="exact"/>
        <w:jc w:val="center"/>
        <w:outlineLvl w:val="0"/>
        <w:rPr>
          <w:rFonts w:ascii="黑体" w:hAnsi="黑体" w:eastAsia="黑体" w:cs="黑体"/>
          <w:bCs/>
          <w:sz w:val="32"/>
          <w:szCs w:val="32"/>
          <w:highlight w:val="none"/>
        </w:rPr>
      </w:pPr>
      <w:bookmarkStart w:id="5" w:name="_Toc18529"/>
      <w:bookmarkStart w:id="6" w:name="_Toc8468"/>
      <w:bookmarkStart w:id="7" w:name="_Toc134452749"/>
      <w:r>
        <w:rPr>
          <w:rFonts w:hint="eastAsia" w:ascii="黑体" w:hAnsi="黑体" w:eastAsia="黑体" w:cs="黑体"/>
          <w:bCs/>
          <w:sz w:val="32"/>
          <w:szCs w:val="32"/>
          <w:highlight w:val="none"/>
        </w:rPr>
        <w:t>采购需求</w:t>
      </w:r>
      <w:bookmarkEnd w:id="5"/>
      <w:bookmarkEnd w:id="6"/>
      <w:bookmarkEnd w:id="7"/>
      <w:bookmarkStart w:id="8" w:name="_Toc134452750"/>
    </w:p>
    <w:bookmarkEnd w:id="8"/>
    <w:p w14:paraId="5EA10CAC">
      <w:pPr>
        <w:spacing w:line="560" w:lineRule="exact"/>
        <w:outlineLvl w:val="0"/>
        <w:rPr>
          <w:rFonts w:ascii="黑体" w:hAnsi="黑体" w:eastAsia="黑体" w:cs="黑体"/>
          <w:bCs/>
          <w:sz w:val="24"/>
          <w:szCs w:val="24"/>
          <w:highlight w:val="none"/>
        </w:rPr>
      </w:pPr>
    </w:p>
    <w:p w14:paraId="01098523">
      <w:pPr>
        <w:spacing w:line="560" w:lineRule="exact"/>
        <w:outlineLvl w:val="0"/>
        <w:rPr>
          <w:rFonts w:ascii="黑体" w:hAnsi="黑体" w:eastAsia="黑体" w:cs="黑体"/>
          <w:bCs/>
          <w:sz w:val="28"/>
          <w:szCs w:val="28"/>
          <w:highlight w:val="none"/>
        </w:rPr>
      </w:pPr>
      <w:bookmarkStart w:id="9" w:name="_Toc9263"/>
      <w:r>
        <w:rPr>
          <w:rFonts w:ascii="黑体" w:hAnsi="黑体" w:eastAsia="黑体" w:cs="黑体"/>
          <w:bCs/>
          <w:sz w:val="28"/>
          <w:szCs w:val="28"/>
          <w:highlight w:val="none"/>
        </w:rPr>
        <w:t>第一包：</w:t>
      </w:r>
      <w:bookmarkEnd w:id="9"/>
      <w:r>
        <w:rPr>
          <w:rFonts w:ascii="黑体" w:hAnsi="黑体" w:eastAsia="黑体" w:cs="黑体"/>
          <w:bCs/>
          <w:sz w:val="28"/>
          <w:szCs w:val="28"/>
          <w:highlight w:val="none"/>
        </w:rPr>
        <w:t xml:space="preserve"> </w:t>
      </w:r>
    </w:p>
    <w:p w14:paraId="2EE9D4D4">
      <w:pPr>
        <w:pStyle w:val="4"/>
        <w:spacing w:before="0" w:after="0" w:line="560" w:lineRule="exact"/>
        <w:jc w:val="left"/>
        <w:rPr>
          <w:rStyle w:val="44"/>
          <w:rFonts w:ascii="仿宋" w:hAnsi="仿宋" w:eastAsia="仿宋"/>
          <w:b w:val="0"/>
          <w:sz w:val="28"/>
          <w:szCs w:val="28"/>
          <w:highlight w:val="none"/>
        </w:rPr>
      </w:pPr>
      <w:bookmarkStart w:id="10" w:name="_Toc138080264"/>
      <w:bookmarkStart w:id="11" w:name="_Toc25984"/>
      <w:r>
        <w:rPr>
          <w:rFonts w:hint="eastAsia" w:asciiTheme="minorEastAsia" w:hAnsiTheme="minorEastAsia" w:eastAsiaTheme="minorEastAsia"/>
          <w:sz w:val="28"/>
          <w:szCs w:val="28"/>
          <w:highlight w:val="none"/>
        </w:rPr>
        <w:t>1.采购产品名称</w:t>
      </w:r>
      <w:r>
        <w:rPr>
          <w:rStyle w:val="44"/>
          <w:rFonts w:hint="eastAsia" w:ascii="仿宋" w:hAnsi="仿宋" w:eastAsia="仿宋"/>
          <w:b w:val="0"/>
          <w:sz w:val="28"/>
          <w:szCs w:val="28"/>
          <w:highlight w:val="none"/>
        </w:rPr>
        <w:t>：</w:t>
      </w:r>
      <w:bookmarkEnd w:id="10"/>
      <w:r>
        <w:rPr>
          <w:rStyle w:val="44"/>
          <w:rFonts w:hint="eastAsia" w:ascii="仿宋" w:hAnsi="仿宋" w:eastAsia="仿宋"/>
          <w:b w:val="0"/>
          <w:sz w:val="28"/>
          <w:szCs w:val="28"/>
          <w:highlight w:val="none"/>
        </w:rPr>
        <w:t>详见招标清单</w:t>
      </w:r>
      <w:bookmarkEnd w:id="11"/>
    </w:p>
    <w:p w14:paraId="5B5BB7AD">
      <w:pPr>
        <w:pStyle w:val="4"/>
        <w:spacing w:before="0" w:after="0" w:line="560" w:lineRule="exact"/>
        <w:jc w:val="left"/>
        <w:rPr>
          <w:rFonts w:asciiTheme="minorEastAsia" w:hAnsiTheme="minorEastAsia" w:eastAsiaTheme="minorEastAsia"/>
          <w:sz w:val="28"/>
          <w:szCs w:val="28"/>
          <w:highlight w:val="none"/>
        </w:rPr>
      </w:pPr>
      <w:bookmarkStart w:id="12" w:name="_Toc24974"/>
      <w:r>
        <w:rPr>
          <w:rFonts w:hint="eastAsia" w:asciiTheme="minorEastAsia" w:hAnsiTheme="minorEastAsia" w:eastAsiaTheme="minorEastAsia"/>
          <w:sz w:val="28"/>
          <w:szCs w:val="28"/>
          <w:highlight w:val="none"/>
        </w:rPr>
        <w:t>2.技术要求</w:t>
      </w:r>
      <w:bookmarkEnd w:id="12"/>
    </w:p>
    <w:p w14:paraId="669DD2B7">
      <w:pPr>
        <w:spacing w:line="560" w:lineRule="exact"/>
        <w:ind w:firstLine="560" w:firstLineChars="200"/>
        <w:rPr>
          <w:rFonts w:ascii="仿宋" w:hAnsi="仿宋" w:eastAsia="仿宋"/>
          <w:sz w:val="28"/>
          <w:szCs w:val="28"/>
          <w:highlight w:val="none"/>
        </w:rPr>
      </w:pPr>
      <w:bookmarkStart w:id="13" w:name="_Toc134452754"/>
      <w:r>
        <w:rPr>
          <w:rFonts w:hint="eastAsia" w:ascii="仿宋" w:hAnsi="仿宋" w:eastAsia="仿宋"/>
          <w:sz w:val="28"/>
          <w:szCs w:val="28"/>
          <w:highlight w:val="none"/>
        </w:rPr>
        <w:t>★2.1.供方需保证其所提供的产品必须是合同所确定的正宗原装产品，其型号、规格必须符合清单所列的各项技术指标，质量必须达到该项</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的国家标准及行业质量标准，严禁使用不合格材料，假一罚十；所附各种资料及配件等必须齐全。</w:t>
      </w:r>
    </w:p>
    <w:p w14:paraId="74FE649F">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★2.2.产品的验收按照国家标准、行业标准及国网验收规范进行，如相关产品所用工程项目验收中，属国网供电公司电源系统，未通过国网验收的情形，需方有权进行退货处理。</w:t>
      </w:r>
    </w:p>
    <w:p w14:paraId="24DF42D6">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★2.3.成交人需随货提供产品合格证、生产许可证，出厂试验报告等。</w:t>
      </w:r>
    </w:p>
    <w:p w14:paraId="7F70941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★2.4.供货期：签订合同后15日内交货。</w:t>
      </w:r>
    </w:p>
    <w:p w14:paraId="64090515">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p w14:paraId="7F61CCDA">
      <w:pPr>
        <w:pStyle w:val="4"/>
        <w:spacing w:before="0" w:after="0" w:line="560" w:lineRule="exact"/>
        <w:jc w:val="left"/>
        <w:rPr>
          <w:rFonts w:hint="eastAsia" w:asciiTheme="minorEastAsia" w:hAnsiTheme="minorEastAsia" w:eastAsiaTheme="minorEastAsia"/>
          <w:sz w:val="28"/>
          <w:szCs w:val="28"/>
          <w:highlight w:val="none"/>
        </w:rPr>
      </w:pPr>
      <w:bookmarkStart w:id="14" w:name="_Toc138080267"/>
      <w:bookmarkStart w:id="15" w:name="_Toc13005"/>
      <w:r>
        <w:rPr>
          <w:rFonts w:hint="eastAsia" w:asciiTheme="minorEastAsia" w:hAnsiTheme="minorEastAsia" w:eastAsiaTheme="minorEastAsia"/>
          <w:sz w:val="28"/>
          <w:szCs w:val="28"/>
          <w:highlight w:val="none"/>
        </w:rPr>
        <w:t>★3.</w:t>
      </w:r>
      <w:r>
        <w:rPr>
          <w:rFonts w:hint="eastAsia" w:asciiTheme="minorEastAsia" w:hAnsiTheme="minorEastAsia" w:eastAsiaTheme="minorEastAsia"/>
          <w:sz w:val="28"/>
          <w:szCs w:val="28"/>
          <w:highlight w:val="none"/>
          <w:lang w:val="en-US" w:eastAsia="zh-CN"/>
        </w:rPr>
        <w:t>结算及</w:t>
      </w:r>
      <w:r>
        <w:rPr>
          <w:rFonts w:hint="eastAsia" w:asciiTheme="minorEastAsia" w:hAnsiTheme="minorEastAsia" w:eastAsiaTheme="minorEastAsia"/>
          <w:sz w:val="28"/>
          <w:szCs w:val="28"/>
          <w:highlight w:val="none"/>
        </w:rPr>
        <w:t>付款方式</w:t>
      </w:r>
      <w:bookmarkEnd w:id="13"/>
      <w:bookmarkEnd w:id="14"/>
      <w:bookmarkEnd w:id="15"/>
    </w:p>
    <w:p w14:paraId="6DC8D79E">
      <w:pPr>
        <w:rPr>
          <w:rFonts w:hint="default" w:ascii="仿宋" w:hAnsi="仿宋" w:eastAsia="仿宋"/>
          <w:sz w:val="28"/>
          <w:szCs w:val="28"/>
          <w:highlight w:val="none"/>
          <w:lang w:val="en-US" w:eastAsia="zh-CN"/>
        </w:rPr>
      </w:pPr>
      <w:r>
        <w:rPr>
          <w:rFonts w:hint="eastAsia" w:asciiTheme="minorEastAsia" w:hAnsiTheme="minorEastAsia" w:eastAsiaTheme="minorEastAsia"/>
          <w:sz w:val="28"/>
          <w:szCs w:val="28"/>
          <w:highlight w:val="none"/>
          <w:lang w:val="en-US" w:eastAsia="zh-CN"/>
        </w:rPr>
        <w:t xml:space="preserve">    </w:t>
      </w:r>
      <w:r>
        <w:rPr>
          <w:rFonts w:hint="eastAsia" w:ascii="仿宋" w:hAnsi="仿宋" w:eastAsia="仿宋"/>
          <w:sz w:val="28"/>
          <w:szCs w:val="28"/>
          <w:highlight w:val="none"/>
          <w:lang w:val="en-US" w:eastAsia="zh-CN"/>
        </w:rPr>
        <w:t>本次采购数量为暂定，最终根据现场实际施工需要数量供货并按实结算。</w:t>
      </w:r>
    </w:p>
    <w:p w14:paraId="1A0378F7">
      <w:pPr>
        <w:spacing w:line="560" w:lineRule="exact"/>
        <w:ind w:firstLine="560" w:firstLineChars="200"/>
        <w:rPr>
          <w:rFonts w:ascii="仿宋" w:hAnsi="仿宋" w:eastAsia="仿宋"/>
          <w:sz w:val="28"/>
          <w:szCs w:val="28"/>
          <w:highlight w:val="none"/>
        </w:rPr>
      </w:pPr>
      <w:bookmarkStart w:id="16" w:name="_Toc134452755"/>
      <w:bookmarkStart w:id="17" w:name="_Toc138080268"/>
      <w:bookmarkStart w:id="18" w:name="_Toc134452756"/>
      <w:r>
        <w:rPr>
          <w:rFonts w:hint="eastAsia" w:ascii="仿宋" w:hAnsi="仿宋" w:eastAsia="仿宋"/>
          <w:sz w:val="28"/>
          <w:szCs w:val="28"/>
          <w:highlight w:val="none"/>
        </w:rPr>
        <w:t>签订合同后，供方组织产品生产，产品到货验收合格后三个月后付至总货款的95％，供方需一次性开具全额增值税专用发票，13%税率，如遇税率调整，按照最新税率政策执行，剩余5％质保期满后</w:t>
      </w:r>
      <w:r>
        <w:rPr>
          <w:rFonts w:hint="eastAsia" w:ascii="仿宋" w:hAnsi="仿宋" w:eastAsia="仿宋"/>
          <w:sz w:val="28"/>
          <w:szCs w:val="28"/>
          <w:highlight w:val="none"/>
          <w:lang w:val="en-US" w:eastAsia="zh-CN"/>
        </w:rPr>
        <w:t>无息支付</w:t>
      </w:r>
      <w:r>
        <w:rPr>
          <w:rFonts w:hint="eastAsia" w:ascii="仿宋" w:hAnsi="仿宋" w:eastAsia="仿宋"/>
          <w:sz w:val="28"/>
          <w:szCs w:val="28"/>
          <w:highlight w:val="none"/>
        </w:rPr>
        <w:t>，最终付款时间无具体节点，结合甲方财务状况确定。</w:t>
      </w:r>
    </w:p>
    <w:bookmarkEnd w:id="16"/>
    <w:p w14:paraId="229EE461">
      <w:pPr>
        <w:pStyle w:val="4"/>
        <w:spacing w:before="0" w:after="0" w:line="560" w:lineRule="exact"/>
        <w:jc w:val="left"/>
        <w:rPr>
          <w:rFonts w:asciiTheme="minorEastAsia" w:hAnsiTheme="minorEastAsia" w:eastAsiaTheme="minorEastAsia"/>
          <w:sz w:val="28"/>
          <w:szCs w:val="28"/>
          <w:highlight w:val="none"/>
        </w:rPr>
      </w:pPr>
      <w:bookmarkStart w:id="19" w:name="_Toc7818"/>
      <w:r>
        <w:rPr>
          <w:rFonts w:hint="eastAsia" w:asciiTheme="minorEastAsia" w:hAnsiTheme="minorEastAsia" w:eastAsiaTheme="minorEastAsia"/>
          <w:sz w:val="28"/>
          <w:szCs w:val="28"/>
          <w:highlight w:val="none"/>
        </w:rPr>
        <w:t>4.验收</w:t>
      </w:r>
      <w:bookmarkEnd w:id="17"/>
      <w:bookmarkEnd w:id="19"/>
    </w:p>
    <w:p w14:paraId="57C82F37">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2B1A2021">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24F5C283">
      <w:pPr>
        <w:pStyle w:val="4"/>
        <w:spacing w:before="0" w:after="0" w:line="560" w:lineRule="exact"/>
        <w:jc w:val="left"/>
        <w:rPr>
          <w:rFonts w:asciiTheme="minorEastAsia" w:hAnsiTheme="minorEastAsia" w:eastAsiaTheme="minorEastAsia"/>
          <w:sz w:val="28"/>
          <w:szCs w:val="28"/>
          <w:highlight w:val="none"/>
        </w:rPr>
      </w:pPr>
      <w:bookmarkStart w:id="20" w:name="_Toc28124"/>
      <w:bookmarkStart w:id="21" w:name="_Toc138080269"/>
      <w:r>
        <w:rPr>
          <w:rFonts w:hint="eastAsia" w:asciiTheme="minorEastAsia" w:hAnsiTheme="minorEastAsia" w:eastAsiaTheme="minorEastAsia"/>
          <w:sz w:val="28"/>
          <w:szCs w:val="28"/>
          <w:highlight w:val="none"/>
        </w:rPr>
        <w:t>5.</w:t>
      </w:r>
      <w:bookmarkEnd w:id="18"/>
      <w:r>
        <w:rPr>
          <w:rFonts w:hint="eastAsia" w:asciiTheme="minorEastAsia" w:hAnsiTheme="minorEastAsia" w:eastAsiaTheme="minorEastAsia"/>
          <w:sz w:val="28"/>
          <w:szCs w:val="28"/>
          <w:highlight w:val="none"/>
        </w:rPr>
        <w:t>质量保证期</w:t>
      </w:r>
      <w:bookmarkEnd w:id="20"/>
      <w:bookmarkEnd w:id="21"/>
    </w:p>
    <w:p w14:paraId="60F192F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质保期：质保期为两年，在质保期头三个月内，如产品运行有严重质量的问题或质量缺陷，供方应免费予以更换，以保证需方正常运行。</w:t>
      </w:r>
    </w:p>
    <w:p w14:paraId="0AFAD7B8">
      <w:pPr>
        <w:pStyle w:val="4"/>
        <w:spacing w:before="0" w:after="0" w:line="560" w:lineRule="exact"/>
        <w:jc w:val="left"/>
        <w:rPr>
          <w:rFonts w:asciiTheme="minorEastAsia" w:hAnsiTheme="minorEastAsia" w:eastAsiaTheme="minorEastAsia"/>
          <w:sz w:val="28"/>
          <w:szCs w:val="28"/>
          <w:highlight w:val="none"/>
        </w:rPr>
      </w:pPr>
      <w:bookmarkStart w:id="22" w:name="_Toc30073"/>
      <w:bookmarkStart w:id="23" w:name="_Toc138080270"/>
      <w:r>
        <w:rPr>
          <w:rFonts w:hint="eastAsia" w:asciiTheme="minorEastAsia" w:hAnsiTheme="minorEastAsia" w:eastAsiaTheme="minorEastAsia"/>
          <w:sz w:val="28"/>
          <w:szCs w:val="28"/>
          <w:highlight w:val="none"/>
        </w:rPr>
        <w:t>6.售后服务</w:t>
      </w:r>
      <w:bookmarkEnd w:id="22"/>
      <w:bookmarkEnd w:id="23"/>
    </w:p>
    <w:p w14:paraId="25F17552">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74C32B7E">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17C7723B">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7354C03D">
      <w:pPr>
        <w:spacing w:line="560" w:lineRule="exact"/>
        <w:rPr>
          <w:rFonts w:ascii="仿宋" w:hAnsi="仿宋" w:eastAsia="仿宋"/>
          <w:sz w:val="28"/>
          <w:szCs w:val="28"/>
          <w:highlight w:val="none"/>
        </w:rPr>
      </w:pPr>
    </w:p>
    <w:p w14:paraId="33BF3AAA">
      <w:pPr>
        <w:rPr>
          <w:highlight w:val="none"/>
        </w:rPr>
      </w:pPr>
    </w:p>
    <w:p w14:paraId="33D72FEB">
      <w:pPr>
        <w:rPr>
          <w:highlight w:val="none"/>
        </w:rPr>
      </w:pPr>
    </w:p>
    <w:p w14:paraId="0F5CE264">
      <w:pPr>
        <w:rPr>
          <w:highlight w:val="none"/>
        </w:rPr>
      </w:pPr>
    </w:p>
    <w:p w14:paraId="742B147F">
      <w:pPr>
        <w:rPr>
          <w:rFonts w:hint="eastAsia" w:ascii="仿宋" w:hAnsi="仿宋" w:eastAsia="仿宋"/>
          <w:b/>
          <w:bCs/>
          <w:sz w:val="28"/>
          <w:szCs w:val="28"/>
          <w:highlight w:val="none"/>
        </w:rPr>
      </w:pPr>
      <w:r>
        <w:rPr>
          <w:rFonts w:hint="eastAsia" w:ascii="仿宋" w:hAnsi="仿宋" w:eastAsia="仿宋"/>
          <w:b/>
          <w:bCs/>
          <w:sz w:val="28"/>
          <w:szCs w:val="28"/>
          <w:highlight w:val="none"/>
        </w:rPr>
        <w:br w:type="page"/>
      </w:r>
    </w:p>
    <w:p w14:paraId="55CD0CEF">
      <w:pPr>
        <w:rPr>
          <w:highlight w:val="none"/>
        </w:rPr>
      </w:pPr>
      <w:r>
        <w:rPr>
          <w:rFonts w:hint="eastAsia" w:ascii="仿宋" w:hAnsi="仿宋" w:eastAsia="仿宋"/>
          <w:b/>
          <w:bCs/>
          <w:sz w:val="28"/>
          <w:szCs w:val="28"/>
          <w:highlight w:val="none"/>
        </w:rPr>
        <w:t>附录：</w:t>
      </w:r>
      <w:r>
        <w:rPr>
          <w:rFonts w:hint="eastAsia" w:ascii="仿宋" w:hAnsi="仿宋" w:eastAsia="仿宋"/>
          <w:b/>
          <w:bCs/>
          <w:sz w:val="28"/>
          <w:szCs w:val="28"/>
          <w:highlight w:val="none"/>
          <w:lang w:val="en-US" w:eastAsia="zh-CN"/>
        </w:rPr>
        <w:t xml:space="preserve">高新区5号能源站一期变配电室工程等项目及高压线路维修使用电力电缆采购 </w:t>
      </w:r>
      <w:r>
        <w:rPr>
          <w:rFonts w:hint="eastAsia" w:ascii="仿宋" w:hAnsi="仿宋" w:eastAsia="仿宋"/>
          <w:b/>
          <w:bCs/>
          <w:sz w:val="28"/>
          <w:szCs w:val="28"/>
          <w:highlight w:val="none"/>
        </w:rPr>
        <w:t>第一包</w:t>
      </w:r>
      <w:r>
        <w:rPr>
          <w:rFonts w:hint="eastAsia" w:ascii="仿宋" w:hAnsi="仿宋" w:eastAsia="仿宋"/>
          <w:b/>
          <w:bCs/>
          <w:sz w:val="28"/>
          <w:szCs w:val="28"/>
          <w:highlight w:val="none"/>
          <w:lang w:val="en-US" w:eastAsia="zh-CN"/>
        </w:rPr>
        <w:t xml:space="preserve"> </w:t>
      </w:r>
      <w:r>
        <w:rPr>
          <w:rFonts w:hint="eastAsia" w:ascii="仿宋" w:hAnsi="仿宋" w:eastAsia="仿宋"/>
          <w:b/>
          <w:bCs/>
          <w:sz w:val="28"/>
          <w:szCs w:val="28"/>
          <w:highlight w:val="none"/>
        </w:rPr>
        <w:t>清单控制价（含税价，增值税税率为13%）</w:t>
      </w:r>
    </w:p>
    <w:tbl>
      <w:tblPr>
        <w:tblStyle w:val="28"/>
        <w:tblW w:w="9678" w:type="dxa"/>
        <w:tblInd w:w="0" w:type="dxa"/>
        <w:tblLayout w:type="fixed"/>
        <w:tblCellMar>
          <w:top w:w="0" w:type="dxa"/>
          <w:left w:w="108" w:type="dxa"/>
          <w:bottom w:w="0" w:type="dxa"/>
          <w:right w:w="108" w:type="dxa"/>
        </w:tblCellMar>
      </w:tblPr>
      <w:tblGrid>
        <w:gridCol w:w="653"/>
        <w:gridCol w:w="1092"/>
        <w:gridCol w:w="2917"/>
        <w:gridCol w:w="654"/>
        <w:gridCol w:w="781"/>
        <w:gridCol w:w="1333"/>
        <w:gridCol w:w="1384"/>
        <w:gridCol w:w="864"/>
      </w:tblGrid>
      <w:tr w14:paraId="6D922969">
        <w:tblPrEx>
          <w:tblCellMar>
            <w:top w:w="0" w:type="dxa"/>
            <w:left w:w="108" w:type="dxa"/>
            <w:bottom w:w="0" w:type="dxa"/>
            <w:right w:w="108" w:type="dxa"/>
          </w:tblCellMar>
        </w:tblPrEx>
        <w:trPr>
          <w:trHeight w:val="885" w:hRule="atLeast"/>
        </w:trPr>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49EBD">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序号</w:t>
            </w:r>
          </w:p>
        </w:tc>
        <w:tc>
          <w:tcPr>
            <w:tcW w:w="1092" w:type="dxa"/>
            <w:tcBorders>
              <w:top w:val="single" w:color="auto" w:sz="4" w:space="0"/>
              <w:left w:val="nil"/>
              <w:bottom w:val="single" w:color="auto" w:sz="4" w:space="0"/>
              <w:right w:val="single" w:color="auto" w:sz="4" w:space="0"/>
            </w:tcBorders>
            <w:shd w:val="clear" w:color="auto" w:fill="auto"/>
            <w:noWrap/>
            <w:vAlign w:val="center"/>
          </w:tcPr>
          <w:p w14:paraId="58D6A125">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材料名称</w:t>
            </w:r>
          </w:p>
        </w:tc>
        <w:tc>
          <w:tcPr>
            <w:tcW w:w="2917" w:type="dxa"/>
            <w:tcBorders>
              <w:top w:val="single" w:color="auto" w:sz="4" w:space="0"/>
              <w:left w:val="nil"/>
              <w:bottom w:val="single" w:color="auto" w:sz="4" w:space="0"/>
              <w:right w:val="single" w:color="auto" w:sz="4" w:space="0"/>
            </w:tcBorders>
            <w:shd w:val="clear" w:color="auto" w:fill="auto"/>
            <w:noWrap/>
            <w:vAlign w:val="center"/>
          </w:tcPr>
          <w:p w14:paraId="30B6913A">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规格型号</w:t>
            </w:r>
          </w:p>
        </w:tc>
        <w:tc>
          <w:tcPr>
            <w:tcW w:w="654" w:type="dxa"/>
            <w:tcBorders>
              <w:top w:val="single" w:color="auto" w:sz="4" w:space="0"/>
              <w:left w:val="nil"/>
              <w:bottom w:val="single" w:color="auto" w:sz="4" w:space="0"/>
              <w:right w:val="single" w:color="auto" w:sz="4" w:space="0"/>
            </w:tcBorders>
            <w:shd w:val="clear" w:color="auto" w:fill="auto"/>
            <w:noWrap/>
            <w:vAlign w:val="center"/>
          </w:tcPr>
          <w:p w14:paraId="1F70DD35">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单位</w:t>
            </w:r>
          </w:p>
        </w:tc>
        <w:tc>
          <w:tcPr>
            <w:tcW w:w="781" w:type="dxa"/>
            <w:tcBorders>
              <w:top w:val="single" w:color="auto" w:sz="4" w:space="0"/>
              <w:left w:val="nil"/>
              <w:bottom w:val="single" w:color="auto" w:sz="4" w:space="0"/>
              <w:right w:val="single" w:color="auto" w:sz="4" w:space="0"/>
            </w:tcBorders>
            <w:shd w:val="clear" w:color="auto" w:fill="auto"/>
            <w:noWrap/>
            <w:vAlign w:val="center"/>
          </w:tcPr>
          <w:p w14:paraId="49129FF2">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采购数量</w:t>
            </w:r>
          </w:p>
        </w:tc>
        <w:tc>
          <w:tcPr>
            <w:tcW w:w="1333" w:type="dxa"/>
            <w:tcBorders>
              <w:top w:val="single" w:color="auto" w:sz="4" w:space="0"/>
              <w:left w:val="nil"/>
              <w:bottom w:val="single" w:color="auto" w:sz="4" w:space="0"/>
              <w:right w:val="single" w:color="auto" w:sz="4" w:space="0"/>
            </w:tcBorders>
            <w:shd w:val="clear" w:color="auto" w:fill="auto"/>
            <w:vAlign w:val="center"/>
          </w:tcPr>
          <w:p w14:paraId="50FA880D">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采购控制单价（元）</w:t>
            </w:r>
          </w:p>
        </w:tc>
        <w:tc>
          <w:tcPr>
            <w:tcW w:w="1384" w:type="dxa"/>
            <w:tcBorders>
              <w:top w:val="single" w:color="auto" w:sz="4" w:space="0"/>
              <w:left w:val="nil"/>
              <w:bottom w:val="single" w:color="auto" w:sz="4" w:space="0"/>
              <w:right w:val="single" w:color="auto" w:sz="4" w:space="0"/>
            </w:tcBorders>
            <w:shd w:val="clear" w:color="auto" w:fill="auto"/>
            <w:vAlign w:val="center"/>
          </w:tcPr>
          <w:p w14:paraId="78B280E7">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采购控制总价（元）</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74B6E4E8">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税率</w:t>
            </w:r>
          </w:p>
        </w:tc>
      </w:tr>
      <w:tr w14:paraId="7261E36F">
        <w:tblPrEx>
          <w:tblCellMar>
            <w:top w:w="0" w:type="dxa"/>
            <w:left w:w="108" w:type="dxa"/>
            <w:bottom w:w="0" w:type="dxa"/>
            <w:right w:w="108" w:type="dxa"/>
          </w:tblCellMar>
        </w:tblPrEx>
        <w:trPr>
          <w:trHeight w:val="96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14:paraId="68C007C4">
            <w:pPr>
              <w:widowControl/>
              <w:jc w:val="center"/>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w:t>
            </w:r>
          </w:p>
        </w:tc>
        <w:tc>
          <w:tcPr>
            <w:tcW w:w="1092" w:type="dxa"/>
            <w:tcBorders>
              <w:top w:val="nil"/>
              <w:left w:val="nil"/>
              <w:bottom w:val="single" w:color="auto" w:sz="4" w:space="0"/>
              <w:right w:val="single" w:color="auto" w:sz="4" w:space="0"/>
            </w:tcBorders>
            <w:shd w:val="clear" w:color="auto" w:fill="auto"/>
            <w:vAlign w:val="center"/>
          </w:tcPr>
          <w:p w14:paraId="1AA06104">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电力电缆</w:t>
            </w:r>
          </w:p>
        </w:tc>
        <w:tc>
          <w:tcPr>
            <w:tcW w:w="2917" w:type="dxa"/>
            <w:tcBorders>
              <w:top w:val="nil"/>
              <w:left w:val="nil"/>
              <w:bottom w:val="single" w:color="auto" w:sz="4" w:space="0"/>
              <w:right w:val="single" w:color="auto" w:sz="4" w:space="0"/>
            </w:tcBorders>
            <w:shd w:val="clear" w:color="auto" w:fill="auto"/>
            <w:vAlign w:val="center"/>
          </w:tcPr>
          <w:p w14:paraId="5A086E85">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ZC-YJV22-8.7/15-3×120mm²</w:t>
            </w:r>
          </w:p>
        </w:tc>
        <w:tc>
          <w:tcPr>
            <w:tcW w:w="654" w:type="dxa"/>
            <w:tcBorders>
              <w:top w:val="nil"/>
              <w:left w:val="nil"/>
              <w:bottom w:val="single" w:color="auto" w:sz="4" w:space="0"/>
              <w:right w:val="single" w:color="auto" w:sz="4" w:space="0"/>
            </w:tcBorders>
            <w:shd w:val="clear" w:color="auto" w:fill="auto"/>
            <w:vAlign w:val="center"/>
          </w:tcPr>
          <w:p w14:paraId="42EC210F">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米</w:t>
            </w:r>
          </w:p>
        </w:tc>
        <w:tc>
          <w:tcPr>
            <w:tcW w:w="781" w:type="dxa"/>
            <w:tcBorders>
              <w:top w:val="nil"/>
              <w:left w:val="nil"/>
              <w:bottom w:val="single" w:color="auto" w:sz="4" w:space="0"/>
              <w:right w:val="single" w:color="auto" w:sz="4" w:space="0"/>
            </w:tcBorders>
            <w:shd w:val="clear" w:color="auto" w:fill="auto"/>
            <w:noWrap/>
            <w:vAlign w:val="center"/>
          </w:tcPr>
          <w:p w14:paraId="041C9C2C">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80</w:t>
            </w:r>
          </w:p>
        </w:tc>
        <w:tc>
          <w:tcPr>
            <w:tcW w:w="1333" w:type="dxa"/>
            <w:tcBorders>
              <w:top w:val="nil"/>
              <w:left w:val="nil"/>
              <w:bottom w:val="single" w:color="auto" w:sz="4" w:space="0"/>
              <w:right w:val="single" w:color="auto" w:sz="4" w:space="0"/>
            </w:tcBorders>
            <w:shd w:val="clear" w:color="auto" w:fill="auto"/>
            <w:vAlign w:val="center"/>
          </w:tcPr>
          <w:p w14:paraId="00128B27">
            <w:pPr>
              <w:widowControl/>
              <w:jc w:val="center"/>
              <w:rPr>
                <w:rFonts w:hint="default"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367.10</w:t>
            </w:r>
          </w:p>
        </w:tc>
        <w:tc>
          <w:tcPr>
            <w:tcW w:w="1384" w:type="dxa"/>
            <w:tcBorders>
              <w:top w:val="nil"/>
              <w:left w:val="nil"/>
              <w:bottom w:val="single" w:color="auto" w:sz="4" w:space="0"/>
              <w:right w:val="single" w:color="auto" w:sz="4" w:space="0"/>
            </w:tcBorders>
            <w:shd w:val="clear" w:color="auto" w:fill="auto"/>
            <w:noWrap/>
            <w:vAlign w:val="center"/>
          </w:tcPr>
          <w:p w14:paraId="6A05D1A9">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29368</w:t>
            </w:r>
          </w:p>
        </w:tc>
        <w:tc>
          <w:tcPr>
            <w:tcW w:w="864" w:type="dxa"/>
            <w:tcBorders>
              <w:top w:val="nil"/>
              <w:left w:val="nil"/>
              <w:bottom w:val="single" w:color="auto" w:sz="4" w:space="0"/>
              <w:right w:val="single" w:color="auto" w:sz="4" w:space="0"/>
            </w:tcBorders>
            <w:shd w:val="clear" w:color="auto" w:fill="auto"/>
            <w:noWrap/>
            <w:vAlign w:val="center"/>
          </w:tcPr>
          <w:p w14:paraId="46A551F7">
            <w:pPr>
              <w:widowControl/>
              <w:jc w:val="center"/>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13%</w:t>
            </w:r>
          </w:p>
        </w:tc>
      </w:tr>
      <w:tr w14:paraId="2437D174">
        <w:tblPrEx>
          <w:tblCellMar>
            <w:top w:w="0" w:type="dxa"/>
            <w:left w:w="108" w:type="dxa"/>
            <w:bottom w:w="0" w:type="dxa"/>
            <w:right w:w="108" w:type="dxa"/>
          </w:tblCellMar>
        </w:tblPrEx>
        <w:trPr>
          <w:trHeight w:val="960" w:hRule="atLeast"/>
        </w:trPr>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9698E">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2</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69898B20">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电力电缆</w:t>
            </w:r>
          </w:p>
        </w:tc>
        <w:tc>
          <w:tcPr>
            <w:tcW w:w="2917" w:type="dxa"/>
            <w:tcBorders>
              <w:top w:val="single" w:color="auto" w:sz="4" w:space="0"/>
              <w:left w:val="single" w:color="auto" w:sz="4" w:space="0"/>
              <w:bottom w:val="single" w:color="auto" w:sz="4" w:space="0"/>
              <w:right w:val="single" w:color="auto" w:sz="4" w:space="0"/>
            </w:tcBorders>
            <w:shd w:val="clear" w:color="auto" w:fill="auto"/>
            <w:vAlign w:val="center"/>
          </w:tcPr>
          <w:p w14:paraId="2B859928">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ZC-YJV22-8.7/15-3×70mm²</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E1041A5">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米</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89AA2">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46</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611AB3CD">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227.59</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805FA">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10469.14</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9D4E9">
            <w:pPr>
              <w:widowControl/>
              <w:jc w:val="center"/>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13%</w:t>
            </w:r>
          </w:p>
        </w:tc>
      </w:tr>
      <w:tr w14:paraId="7ED738CD">
        <w:tblPrEx>
          <w:tblCellMar>
            <w:top w:w="0" w:type="dxa"/>
            <w:left w:w="108" w:type="dxa"/>
            <w:bottom w:w="0" w:type="dxa"/>
            <w:right w:w="108" w:type="dxa"/>
          </w:tblCellMar>
        </w:tblPrEx>
        <w:trPr>
          <w:trHeight w:val="960" w:hRule="atLeast"/>
        </w:trPr>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0E3E6">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3</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F4ABBBF">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电力电缆</w:t>
            </w:r>
          </w:p>
        </w:tc>
        <w:tc>
          <w:tcPr>
            <w:tcW w:w="2917" w:type="dxa"/>
            <w:tcBorders>
              <w:top w:val="single" w:color="auto" w:sz="4" w:space="0"/>
              <w:left w:val="single" w:color="auto" w:sz="4" w:space="0"/>
              <w:bottom w:val="single" w:color="auto" w:sz="4" w:space="0"/>
              <w:right w:val="single" w:color="auto" w:sz="4" w:space="0"/>
            </w:tcBorders>
            <w:shd w:val="clear" w:color="auto" w:fill="auto"/>
            <w:vAlign w:val="center"/>
          </w:tcPr>
          <w:p w14:paraId="50E410AB">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ZR-YJV22-10-3*400mm²</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77DBAEC">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米</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CAFD8">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500</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2835D127">
            <w:pPr>
              <w:widowControl/>
              <w:jc w:val="center"/>
              <w:rPr>
                <w:rFonts w:hint="default"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1051.10</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992BB">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525550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3F968">
            <w:pPr>
              <w:widowControl/>
              <w:jc w:val="center"/>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13%</w:t>
            </w:r>
          </w:p>
        </w:tc>
      </w:tr>
      <w:tr w14:paraId="084D95FB">
        <w:tblPrEx>
          <w:tblCellMar>
            <w:top w:w="0" w:type="dxa"/>
            <w:left w:w="108" w:type="dxa"/>
            <w:bottom w:w="0" w:type="dxa"/>
            <w:right w:w="108" w:type="dxa"/>
          </w:tblCellMar>
        </w:tblPrEx>
        <w:trPr>
          <w:trHeight w:val="960" w:hRule="atLeast"/>
        </w:trPr>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C6120">
            <w:pPr>
              <w:widowControl/>
              <w:jc w:val="center"/>
              <w:rPr>
                <w:rFonts w:hint="eastAsia" w:ascii="仿宋" w:hAnsi="仿宋" w:eastAsia="仿宋" w:cs="宋体"/>
                <w:color w:val="000000"/>
                <w:kern w:val="0"/>
                <w:sz w:val="24"/>
                <w:szCs w:val="24"/>
                <w:highlight w:val="none"/>
                <w:lang w:val="en-US" w:eastAsia="zh-CN"/>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5297191">
            <w:pPr>
              <w:widowControl/>
              <w:jc w:val="center"/>
              <w:rPr>
                <w:rFonts w:hint="eastAsia" w:ascii="仿宋" w:hAnsi="仿宋" w:eastAsia="仿宋" w:cs="宋体"/>
                <w:color w:val="000000"/>
                <w:kern w:val="0"/>
                <w:sz w:val="24"/>
                <w:szCs w:val="24"/>
                <w:highlight w:val="none"/>
                <w:lang w:val="en-US" w:eastAsia="zh-CN"/>
              </w:rPr>
            </w:pPr>
          </w:p>
        </w:tc>
        <w:tc>
          <w:tcPr>
            <w:tcW w:w="2917" w:type="dxa"/>
            <w:tcBorders>
              <w:top w:val="single" w:color="auto" w:sz="4" w:space="0"/>
              <w:left w:val="single" w:color="auto" w:sz="4" w:space="0"/>
              <w:bottom w:val="single" w:color="auto" w:sz="4" w:space="0"/>
              <w:right w:val="single" w:color="auto" w:sz="4" w:space="0"/>
            </w:tcBorders>
            <w:shd w:val="clear" w:color="auto" w:fill="auto"/>
            <w:vAlign w:val="center"/>
          </w:tcPr>
          <w:p w14:paraId="4C4DA92F">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b/>
                <w:bCs/>
                <w:color w:val="000000"/>
                <w:kern w:val="0"/>
                <w:sz w:val="24"/>
                <w:szCs w:val="24"/>
                <w:highlight w:val="none"/>
                <w:lang w:val="en-US" w:eastAsia="zh-CN"/>
              </w:rPr>
              <w:t>合计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7308783">
            <w:pPr>
              <w:widowControl/>
              <w:jc w:val="center"/>
              <w:rPr>
                <w:rFonts w:hint="eastAsia" w:ascii="仿宋" w:hAnsi="仿宋" w:eastAsia="仿宋" w:cs="宋体"/>
                <w:color w:val="000000"/>
                <w:kern w:val="0"/>
                <w:sz w:val="24"/>
                <w:szCs w:val="24"/>
                <w:highlight w:val="none"/>
                <w:lang w:val="en-US" w:eastAsia="zh-CN"/>
              </w:rPr>
            </w:pP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4EAF9">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626</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57672036">
            <w:pPr>
              <w:widowControl/>
              <w:jc w:val="center"/>
              <w:rPr>
                <w:rFonts w:hint="eastAsia" w:ascii="仿宋" w:hAnsi="仿宋" w:eastAsia="仿宋" w:cs="宋体"/>
                <w:color w:val="000000"/>
                <w:kern w:val="0"/>
                <w:sz w:val="24"/>
                <w:szCs w:val="24"/>
                <w:highlight w:val="none"/>
                <w:lang w:val="en-US" w:eastAsia="zh-CN"/>
              </w:rPr>
            </w:pP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2AAF9">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lang w:val="en-US" w:eastAsia="zh-CN"/>
              </w:rPr>
              <w:t>565387.14</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7436A">
            <w:pPr>
              <w:widowControl/>
              <w:jc w:val="center"/>
              <w:rPr>
                <w:rFonts w:hint="eastAsia" w:ascii="仿宋" w:hAnsi="仿宋" w:eastAsia="仿宋" w:cs="宋体"/>
                <w:color w:val="000000"/>
                <w:kern w:val="0"/>
                <w:sz w:val="24"/>
                <w:szCs w:val="24"/>
                <w:highlight w:val="none"/>
                <w:lang w:val="en-US" w:eastAsia="zh-CN"/>
              </w:rPr>
            </w:pPr>
            <w:r>
              <w:rPr>
                <w:rFonts w:hint="eastAsia" w:ascii="仿宋" w:hAnsi="仿宋" w:eastAsia="仿宋" w:cs="宋体"/>
                <w:color w:val="000000"/>
                <w:kern w:val="0"/>
                <w:sz w:val="24"/>
                <w:szCs w:val="24"/>
                <w:highlight w:val="none"/>
              </w:rPr>
              <w:t>13%</w:t>
            </w:r>
          </w:p>
        </w:tc>
      </w:tr>
    </w:tbl>
    <w:p w14:paraId="0D44DA66">
      <w:pPr>
        <w:spacing w:line="560" w:lineRule="exact"/>
        <w:ind w:firstLine="560" w:firstLineChars="200"/>
        <w:rPr>
          <w:rFonts w:ascii="仿宋" w:hAnsi="仿宋" w:eastAsia="仿宋"/>
          <w:sz w:val="28"/>
          <w:szCs w:val="28"/>
          <w:highlight w:val="none"/>
        </w:rPr>
      </w:pPr>
    </w:p>
    <w:p w14:paraId="39E36AE7">
      <w:pPr>
        <w:spacing w:line="560" w:lineRule="exact"/>
        <w:rPr>
          <w:rFonts w:ascii="仿宋" w:hAnsi="仿宋" w:eastAsia="仿宋"/>
          <w:sz w:val="28"/>
          <w:szCs w:val="28"/>
          <w:highlight w:val="none"/>
        </w:rPr>
      </w:pPr>
    </w:p>
    <w:p w14:paraId="3776FAF5">
      <w:pPr>
        <w:rPr>
          <w:szCs w:val="28"/>
          <w:highlight w:val="none"/>
        </w:rPr>
      </w:pPr>
    </w:p>
    <w:p w14:paraId="0DF6B261">
      <w:pPr>
        <w:spacing w:line="560" w:lineRule="exact"/>
        <w:outlineLvl w:val="0"/>
        <w:rPr>
          <w:rFonts w:ascii="黑体" w:hAnsi="黑体" w:eastAsia="黑体" w:cs="黑体"/>
          <w:bCs/>
          <w:sz w:val="32"/>
          <w:szCs w:val="32"/>
          <w:highlight w:val="none"/>
        </w:rPr>
      </w:pPr>
    </w:p>
    <w:p w14:paraId="0157AB6E">
      <w:pPr>
        <w:rPr>
          <w:rFonts w:ascii="黑体" w:hAnsi="黑体" w:eastAsia="黑体" w:cs="黑体"/>
          <w:bCs/>
          <w:sz w:val="32"/>
          <w:szCs w:val="32"/>
          <w:highlight w:val="none"/>
        </w:rPr>
      </w:pPr>
      <w:r>
        <w:rPr>
          <w:rFonts w:ascii="黑体" w:hAnsi="黑体" w:eastAsia="黑体" w:cs="黑体"/>
          <w:bCs/>
          <w:sz w:val="32"/>
          <w:szCs w:val="32"/>
          <w:highlight w:val="none"/>
        </w:rPr>
        <w:br w:type="page"/>
      </w:r>
    </w:p>
    <w:p w14:paraId="77AB2C73">
      <w:pPr>
        <w:spacing w:line="560" w:lineRule="exact"/>
        <w:outlineLvl w:val="0"/>
        <w:rPr>
          <w:rFonts w:ascii="黑体" w:hAnsi="黑体" w:eastAsia="黑体" w:cs="黑体"/>
          <w:bCs/>
          <w:sz w:val="28"/>
          <w:szCs w:val="28"/>
          <w:highlight w:val="none"/>
        </w:rPr>
      </w:pPr>
      <w:bookmarkStart w:id="24" w:name="_Toc13912"/>
      <w:r>
        <w:rPr>
          <w:rFonts w:ascii="黑体" w:hAnsi="黑体" w:eastAsia="黑体" w:cs="黑体"/>
          <w:bCs/>
          <w:sz w:val="28"/>
          <w:szCs w:val="28"/>
          <w:highlight w:val="none"/>
        </w:rPr>
        <w:t>第</w:t>
      </w:r>
      <w:r>
        <w:rPr>
          <w:rFonts w:hint="eastAsia" w:ascii="黑体" w:hAnsi="黑体" w:eastAsia="黑体" w:cs="黑体"/>
          <w:bCs/>
          <w:sz w:val="28"/>
          <w:szCs w:val="28"/>
          <w:highlight w:val="none"/>
        </w:rPr>
        <w:t>二</w:t>
      </w:r>
      <w:r>
        <w:rPr>
          <w:rFonts w:ascii="黑体" w:hAnsi="黑体" w:eastAsia="黑体" w:cs="黑体"/>
          <w:bCs/>
          <w:sz w:val="28"/>
          <w:szCs w:val="28"/>
          <w:highlight w:val="none"/>
        </w:rPr>
        <w:t>包：</w:t>
      </w:r>
      <w:bookmarkEnd w:id="24"/>
      <w:r>
        <w:rPr>
          <w:rFonts w:ascii="黑体" w:hAnsi="黑体" w:eastAsia="黑体" w:cs="黑体"/>
          <w:bCs/>
          <w:sz w:val="28"/>
          <w:szCs w:val="28"/>
          <w:highlight w:val="none"/>
        </w:rPr>
        <w:t xml:space="preserve"> </w:t>
      </w:r>
    </w:p>
    <w:p w14:paraId="455DAF85">
      <w:pPr>
        <w:pStyle w:val="4"/>
        <w:spacing w:before="0" w:after="0" w:line="560" w:lineRule="exact"/>
        <w:jc w:val="left"/>
        <w:rPr>
          <w:rStyle w:val="44"/>
          <w:rFonts w:ascii="仿宋" w:hAnsi="仿宋" w:eastAsia="仿宋"/>
          <w:b w:val="0"/>
          <w:sz w:val="28"/>
          <w:szCs w:val="28"/>
          <w:highlight w:val="none"/>
        </w:rPr>
      </w:pPr>
      <w:bookmarkStart w:id="25" w:name="_Toc839"/>
      <w:r>
        <w:rPr>
          <w:rFonts w:hint="eastAsia" w:asciiTheme="minorEastAsia" w:hAnsiTheme="minorEastAsia" w:eastAsiaTheme="minorEastAsia"/>
          <w:sz w:val="28"/>
          <w:szCs w:val="28"/>
          <w:highlight w:val="none"/>
        </w:rPr>
        <w:t>1.采购产品名称</w:t>
      </w:r>
      <w:r>
        <w:rPr>
          <w:rStyle w:val="44"/>
          <w:rFonts w:hint="eastAsia" w:ascii="仿宋" w:hAnsi="仿宋" w:eastAsia="仿宋"/>
          <w:b w:val="0"/>
          <w:sz w:val="28"/>
          <w:szCs w:val="28"/>
          <w:highlight w:val="none"/>
        </w:rPr>
        <w:t>：详见招标清单</w:t>
      </w:r>
      <w:bookmarkEnd w:id="25"/>
    </w:p>
    <w:p w14:paraId="07762B24">
      <w:pPr>
        <w:pStyle w:val="4"/>
        <w:spacing w:before="0" w:after="0" w:line="560" w:lineRule="exact"/>
        <w:jc w:val="left"/>
        <w:rPr>
          <w:rFonts w:asciiTheme="minorEastAsia" w:hAnsiTheme="minorEastAsia" w:eastAsiaTheme="minorEastAsia"/>
          <w:sz w:val="28"/>
          <w:szCs w:val="28"/>
          <w:highlight w:val="none"/>
        </w:rPr>
      </w:pPr>
      <w:bookmarkStart w:id="26" w:name="_Toc134452751"/>
      <w:bookmarkStart w:id="27" w:name="_Toc27071"/>
      <w:bookmarkStart w:id="28" w:name="_Toc138080266"/>
      <w:r>
        <w:rPr>
          <w:rFonts w:hint="eastAsia" w:asciiTheme="minorEastAsia" w:hAnsiTheme="minorEastAsia" w:eastAsiaTheme="minorEastAsia"/>
          <w:sz w:val="28"/>
          <w:szCs w:val="28"/>
          <w:highlight w:val="none"/>
        </w:rPr>
        <w:t>2.技术要求</w:t>
      </w:r>
      <w:bookmarkEnd w:id="26"/>
      <w:bookmarkEnd w:id="27"/>
      <w:bookmarkEnd w:id="28"/>
    </w:p>
    <w:p w14:paraId="4409D728">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★2.1.供方需保证其所提供的产品必须是合同所确定的正宗原装产品，其型号、规格必须符合清单所列的各项技术指标，质量必须达到该项</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的国家标准及行业质量标准，严禁使用不合格材料，假一罚十；所附各种资料及配件（软件）等必须齐全。</w:t>
      </w:r>
    </w:p>
    <w:p w14:paraId="6B7AF10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★2.2.产品的验收按照国家标准、行业标准及国网验收规范进行，如相关产品所用工程项目验收中，属国网供电公司电源系统，未通过国网验收的情形，需方有权进行退货处理。</w:t>
      </w:r>
    </w:p>
    <w:p w14:paraId="58A6DCE9">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★2.3.成交人需随货提供产品合格证、生产许可证，出厂试验报告等。</w:t>
      </w:r>
    </w:p>
    <w:p w14:paraId="0BD4AC81">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★2.4.供货期：签订合同后15日内交货。</w:t>
      </w:r>
    </w:p>
    <w:p w14:paraId="6BF920D5">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p w14:paraId="5D6FA74C">
      <w:pPr>
        <w:pStyle w:val="4"/>
        <w:spacing w:before="0" w:after="0" w:line="560" w:lineRule="exact"/>
        <w:jc w:val="left"/>
        <w:rPr>
          <w:rFonts w:hint="default" w:eastAsiaTheme="minorEastAsia"/>
          <w:highlight w:val="none"/>
          <w:lang w:val="en-US" w:eastAsia="zh-CN"/>
        </w:rPr>
      </w:pPr>
      <w:bookmarkStart w:id="29" w:name="_Toc6840"/>
      <w:r>
        <w:rPr>
          <w:rFonts w:hint="eastAsia" w:asciiTheme="minorEastAsia" w:hAnsiTheme="minorEastAsia" w:eastAsiaTheme="minorEastAsia"/>
          <w:sz w:val="28"/>
          <w:szCs w:val="28"/>
          <w:highlight w:val="none"/>
        </w:rPr>
        <w:t>★3.付款方式</w:t>
      </w:r>
      <w:bookmarkEnd w:id="29"/>
      <w:r>
        <w:rPr>
          <w:rFonts w:hint="eastAsia" w:asciiTheme="minorEastAsia" w:hAnsiTheme="minorEastAsia" w:eastAsiaTheme="minorEastAsia"/>
          <w:sz w:val="28"/>
          <w:szCs w:val="28"/>
          <w:highlight w:val="none"/>
          <w:lang w:val="en-US" w:eastAsia="zh-CN"/>
        </w:rPr>
        <w:t xml:space="preserve">  </w:t>
      </w:r>
    </w:p>
    <w:p w14:paraId="0F329BC4">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签订合同后，供方组织产品生产，产品到货验收合格后三个月后付至总货款的95％，供方需一次性开具全额增值税专用发票，13%税率，如遇税率调整，按照最新税率政策执行，剩余5％质保期满后</w:t>
      </w:r>
      <w:r>
        <w:rPr>
          <w:rFonts w:hint="eastAsia" w:ascii="仿宋" w:hAnsi="仿宋" w:eastAsia="仿宋"/>
          <w:sz w:val="28"/>
          <w:szCs w:val="28"/>
          <w:highlight w:val="none"/>
          <w:lang w:val="en-US" w:eastAsia="zh-CN"/>
        </w:rPr>
        <w:t>无息支付</w:t>
      </w:r>
      <w:r>
        <w:rPr>
          <w:rFonts w:hint="eastAsia" w:ascii="仿宋" w:hAnsi="仿宋" w:eastAsia="仿宋"/>
          <w:sz w:val="28"/>
          <w:szCs w:val="28"/>
          <w:highlight w:val="none"/>
        </w:rPr>
        <w:t>，最终付款时间无具体节点，结合甲方财务状况确定。</w:t>
      </w:r>
    </w:p>
    <w:p w14:paraId="7F0D9B1C">
      <w:pPr>
        <w:pStyle w:val="4"/>
        <w:spacing w:before="0" w:after="0" w:line="560" w:lineRule="exact"/>
        <w:jc w:val="left"/>
        <w:rPr>
          <w:rFonts w:asciiTheme="minorEastAsia" w:hAnsiTheme="minorEastAsia" w:eastAsiaTheme="minorEastAsia"/>
          <w:sz w:val="28"/>
          <w:szCs w:val="28"/>
          <w:highlight w:val="none"/>
        </w:rPr>
      </w:pPr>
      <w:bookmarkStart w:id="30" w:name="_Toc13855"/>
      <w:r>
        <w:rPr>
          <w:rFonts w:hint="eastAsia" w:asciiTheme="minorEastAsia" w:hAnsiTheme="minorEastAsia" w:eastAsiaTheme="minorEastAsia"/>
          <w:sz w:val="28"/>
          <w:szCs w:val="28"/>
          <w:highlight w:val="none"/>
        </w:rPr>
        <w:t>4.验收</w:t>
      </w:r>
      <w:bookmarkEnd w:id="30"/>
    </w:p>
    <w:p w14:paraId="395050DF">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50A7BAFD">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0E7C3A56">
      <w:pPr>
        <w:pStyle w:val="4"/>
        <w:spacing w:before="0" w:after="0" w:line="560" w:lineRule="exact"/>
        <w:jc w:val="left"/>
        <w:rPr>
          <w:rFonts w:asciiTheme="minorEastAsia" w:hAnsiTheme="minorEastAsia" w:eastAsiaTheme="minorEastAsia"/>
          <w:sz w:val="28"/>
          <w:szCs w:val="28"/>
          <w:highlight w:val="none"/>
        </w:rPr>
      </w:pPr>
      <w:bookmarkStart w:id="31" w:name="_Toc1706"/>
      <w:r>
        <w:rPr>
          <w:rFonts w:hint="eastAsia" w:asciiTheme="minorEastAsia" w:hAnsiTheme="minorEastAsia" w:eastAsiaTheme="minorEastAsia"/>
          <w:sz w:val="28"/>
          <w:szCs w:val="28"/>
          <w:highlight w:val="none"/>
        </w:rPr>
        <w:t>5.质量保证期</w:t>
      </w:r>
      <w:bookmarkEnd w:id="31"/>
    </w:p>
    <w:p w14:paraId="52A7ACBD">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质保期：质保期为两年，在质保期头三个月内，如产品运行有严重质量的问题或质量缺陷，供方应免费予以更换，以保证需方正常运行。</w:t>
      </w:r>
    </w:p>
    <w:p w14:paraId="09A8DF70">
      <w:pPr>
        <w:pStyle w:val="4"/>
        <w:spacing w:before="0" w:after="0" w:line="560" w:lineRule="exact"/>
        <w:jc w:val="left"/>
        <w:rPr>
          <w:rFonts w:asciiTheme="minorEastAsia" w:hAnsiTheme="minorEastAsia" w:eastAsiaTheme="minorEastAsia"/>
          <w:sz w:val="28"/>
          <w:szCs w:val="28"/>
          <w:highlight w:val="none"/>
        </w:rPr>
      </w:pPr>
      <w:bookmarkStart w:id="32" w:name="_Toc25526"/>
      <w:r>
        <w:rPr>
          <w:rFonts w:hint="eastAsia" w:asciiTheme="minorEastAsia" w:hAnsiTheme="minorEastAsia" w:eastAsiaTheme="minorEastAsia"/>
          <w:sz w:val="28"/>
          <w:szCs w:val="28"/>
          <w:highlight w:val="none"/>
        </w:rPr>
        <w:t>6.售后服务</w:t>
      </w:r>
      <w:bookmarkEnd w:id="32"/>
    </w:p>
    <w:p w14:paraId="0AA40F91">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3034D05D">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59A2EBBA">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7B0978B6">
      <w:pPr>
        <w:widowControl/>
        <w:spacing w:line="560" w:lineRule="exact"/>
        <w:jc w:val="left"/>
        <w:rPr>
          <w:rFonts w:ascii="仿宋" w:hAnsi="仿宋" w:eastAsia="仿宋"/>
          <w:sz w:val="28"/>
          <w:szCs w:val="28"/>
          <w:highlight w:val="none"/>
        </w:rPr>
      </w:pPr>
    </w:p>
    <w:p w14:paraId="3457506D">
      <w:pPr>
        <w:rPr>
          <w:rFonts w:hint="eastAsia" w:ascii="仿宋" w:hAnsi="仿宋" w:eastAsia="仿宋"/>
          <w:b/>
          <w:bCs/>
          <w:sz w:val="28"/>
          <w:szCs w:val="28"/>
          <w:highlight w:val="none"/>
        </w:rPr>
      </w:pPr>
      <w:r>
        <w:rPr>
          <w:rFonts w:hint="eastAsia" w:ascii="仿宋" w:hAnsi="仿宋" w:eastAsia="仿宋"/>
          <w:b/>
          <w:bCs/>
          <w:sz w:val="28"/>
          <w:szCs w:val="28"/>
          <w:highlight w:val="none"/>
        </w:rPr>
        <w:br w:type="page"/>
      </w:r>
    </w:p>
    <w:p w14:paraId="2D18AB54">
      <w:pPr>
        <w:rPr>
          <w:highlight w:val="none"/>
        </w:rPr>
      </w:pPr>
      <w:r>
        <w:rPr>
          <w:rFonts w:hint="eastAsia" w:ascii="仿宋" w:hAnsi="仿宋" w:eastAsia="仿宋"/>
          <w:b/>
          <w:bCs/>
          <w:sz w:val="28"/>
          <w:szCs w:val="28"/>
          <w:highlight w:val="none"/>
        </w:rPr>
        <w:t>附录：</w:t>
      </w:r>
      <w:r>
        <w:rPr>
          <w:rFonts w:hint="eastAsia" w:ascii="仿宋" w:hAnsi="仿宋" w:eastAsia="仿宋"/>
          <w:b/>
          <w:bCs/>
          <w:sz w:val="28"/>
          <w:szCs w:val="28"/>
          <w:highlight w:val="none"/>
          <w:lang w:val="en-US" w:eastAsia="zh-CN"/>
        </w:rPr>
        <w:t xml:space="preserve">高新区5号能源站一期变配电室工程等项目及高压线路维修使用电力电缆采购  </w:t>
      </w:r>
      <w:r>
        <w:rPr>
          <w:rFonts w:hint="eastAsia" w:ascii="仿宋" w:hAnsi="仿宋" w:eastAsia="仿宋"/>
          <w:b/>
          <w:bCs/>
          <w:sz w:val="28"/>
          <w:szCs w:val="28"/>
          <w:highlight w:val="none"/>
        </w:rPr>
        <w:t>第</w:t>
      </w:r>
      <w:r>
        <w:rPr>
          <w:rFonts w:hint="eastAsia" w:ascii="仿宋" w:hAnsi="仿宋" w:eastAsia="仿宋"/>
          <w:b/>
          <w:bCs/>
          <w:sz w:val="28"/>
          <w:szCs w:val="28"/>
          <w:highlight w:val="none"/>
          <w:lang w:eastAsia="zh-CN"/>
        </w:rPr>
        <w:t>二</w:t>
      </w:r>
      <w:r>
        <w:rPr>
          <w:rFonts w:hint="eastAsia" w:ascii="仿宋" w:hAnsi="仿宋" w:eastAsia="仿宋"/>
          <w:b/>
          <w:bCs/>
          <w:sz w:val="28"/>
          <w:szCs w:val="28"/>
          <w:highlight w:val="none"/>
        </w:rPr>
        <w:t>包</w:t>
      </w:r>
      <w:r>
        <w:rPr>
          <w:rFonts w:hint="eastAsia" w:ascii="仿宋" w:hAnsi="仿宋" w:eastAsia="仿宋"/>
          <w:b/>
          <w:bCs/>
          <w:sz w:val="28"/>
          <w:szCs w:val="28"/>
          <w:highlight w:val="none"/>
          <w:lang w:val="en-US" w:eastAsia="zh-CN"/>
        </w:rPr>
        <w:t xml:space="preserve"> </w:t>
      </w:r>
      <w:r>
        <w:rPr>
          <w:rFonts w:hint="eastAsia" w:ascii="仿宋" w:hAnsi="仿宋" w:eastAsia="仿宋"/>
          <w:b/>
          <w:bCs/>
          <w:sz w:val="28"/>
          <w:szCs w:val="28"/>
          <w:highlight w:val="none"/>
        </w:rPr>
        <w:t>清单控制价（含税价，增值税税率为13%）</w:t>
      </w:r>
    </w:p>
    <w:p w14:paraId="7B794313">
      <w:pPr>
        <w:rPr>
          <w:highlight w:val="none"/>
        </w:rPr>
      </w:pPr>
    </w:p>
    <w:tbl>
      <w:tblPr>
        <w:tblStyle w:val="28"/>
        <w:tblW w:w="9464" w:type="dxa"/>
        <w:tblInd w:w="0" w:type="dxa"/>
        <w:tblLayout w:type="fixed"/>
        <w:tblCellMar>
          <w:top w:w="0" w:type="dxa"/>
          <w:left w:w="108" w:type="dxa"/>
          <w:bottom w:w="0" w:type="dxa"/>
          <w:right w:w="108" w:type="dxa"/>
        </w:tblCellMar>
      </w:tblPr>
      <w:tblGrid>
        <w:gridCol w:w="534"/>
        <w:gridCol w:w="1272"/>
        <w:gridCol w:w="2319"/>
        <w:gridCol w:w="800"/>
        <w:gridCol w:w="1193"/>
        <w:gridCol w:w="1242"/>
        <w:gridCol w:w="1395"/>
        <w:gridCol w:w="5"/>
        <w:gridCol w:w="704"/>
      </w:tblGrid>
      <w:tr w14:paraId="4B686B9A">
        <w:tblPrEx>
          <w:tblCellMar>
            <w:top w:w="0" w:type="dxa"/>
            <w:left w:w="108" w:type="dxa"/>
            <w:bottom w:w="0" w:type="dxa"/>
            <w:right w:w="108" w:type="dxa"/>
          </w:tblCellMar>
        </w:tblPrEx>
        <w:trPr>
          <w:trHeight w:val="885"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4B00D">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序号</w:t>
            </w:r>
          </w:p>
        </w:tc>
        <w:tc>
          <w:tcPr>
            <w:tcW w:w="1272" w:type="dxa"/>
            <w:tcBorders>
              <w:top w:val="single" w:color="auto" w:sz="4" w:space="0"/>
              <w:left w:val="nil"/>
              <w:bottom w:val="single" w:color="auto" w:sz="4" w:space="0"/>
              <w:right w:val="single" w:color="auto" w:sz="4" w:space="0"/>
            </w:tcBorders>
            <w:shd w:val="clear" w:color="auto" w:fill="auto"/>
            <w:noWrap/>
            <w:vAlign w:val="center"/>
          </w:tcPr>
          <w:p w14:paraId="7FA161CE">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材料名称</w:t>
            </w:r>
          </w:p>
        </w:tc>
        <w:tc>
          <w:tcPr>
            <w:tcW w:w="2319" w:type="dxa"/>
            <w:tcBorders>
              <w:top w:val="single" w:color="auto" w:sz="4" w:space="0"/>
              <w:left w:val="nil"/>
              <w:bottom w:val="single" w:color="auto" w:sz="4" w:space="0"/>
              <w:right w:val="single" w:color="auto" w:sz="4" w:space="0"/>
            </w:tcBorders>
            <w:shd w:val="clear" w:color="auto" w:fill="auto"/>
            <w:noWrap/>
            <w:vAlign w:val="center"/>
          </w:tcPr>
          <w:p w14:paraId="6137DB5E">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规格型号</w:t>
            </w:r>
          </w:p>
        </w:tc>
        <w:tc>
          <w:tcPr>
            <w:tcW w:w="800" w:type="dxa"/>
            <w:tcBorders>
              <w:top w:val="single" w:color="auto" w:sz="4" w:space="0"/>
              <w:left w:val="nil"/>
              <w:bottom w:val="single" w:color="auto" w:sz="4" w:space="0"/>
              <w:right w:val="single" w:color="auto" w:sz="4" w:space="0"/>
            </w:tcBorders>
            <w:shd w:val="clear" w:color="auto" w:fill="auto"/>
            <w:noWrap/>
            <w:vAlign w:val="center"/>
          </w:tcPr>
          <w:p w14:paraId="4B15FC9B">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单位</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4FCAACC6">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采购数量</w:t>
            </w:r>
          </w:p>
        </w:tc>
        <w:tc>
          <w:tcPr>
            <w:tcW w:w="1242" w:type="dxa"/>
            <w:tcBorders>
              <w:top w:val="single" w:color="auto" w:sz="4" w:space="0"/>
              <w:left w:val="nil"/>
              <w:bottom w:val="single" w:color="auto" w:sz="4" w:space="0"/>
              <w:right w:val="single" w:color="auto" w:sz="4" w:space="0"/>
            </w:tcBorders>
            <w:shd w:val="clear" w:color="auto" w:fill="auto"/>
            <w:vAlign w:val="center"/>
          </w:tcPr>
          <w:p w14:paraId="29758147">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采购控制单价（元）</w:t>
            </w:r>
          </w:p>
        </w:tc>
        <w:tc>
          <w:tcPr>
            <w:tcW w:w="1395" w:type="dxa"/>
            <w:tcBorders>
              <w:top w:val="single" w:color="auto" w:sz="4" w:space="0"/>
              <w:left w:val="nil"/>
              <w:bottom w:val="single" w:color="auto" w:sz="4" w:space="0"/>
              <w:right w:val="single" w:color="auto" w:sz="4" w:space="0"/>
            </w:tcBorders>
            <w:shd w:val="clear" w:color="auto" w:fill="auto"/>
            <w:vAlign w:val="center"/>
          </w:tcPr>
          <w:p w14:paraId="755C7E52">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采购控制总价（元）</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14:paraId="788FA48A">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税率</w:t>
            </w:r>
          </w:p>
        </w:tc>
      </w:tr>
      <w:tr w14:paraId="4D02BB61">
        <w:tblPrEx>
          <w:tblCellMar>
            <w:top w:w="0" w:type="dxa"/>
            <w:left w:w="108" w:type="dxa"/>
            <w:bottom w:w="0" w:type="dxa"/>
            <w:right w:w="108" w:type="dxa"/>
          </w:tblCellMar>
        </w:tblPrEx>
        <w:trPr>
          <w:trHeight w:val="96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6D742565">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1272" w:type="dxa"/>
            <w:tcBorders>
              <w:top w:val="nil"/>
              <w:left w:val="nil"/>
              <w:bottom w:val="single" w:color="auto" w:sz="4" w:space="0"/>
              <w:right w:val="single" w:color="auto" w:sz="4" w:space="0"/>
            </w:tcBorders>
            <w:shd w:val="clear" w:color="auto" w:fill="auto"/>
            <w:vAlign w:val="center"/>
          </w:tcPr>
          <w:p w14:paraId="6FA58C71">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绝缘架空线</w:t>
            </w:r>
          </w:p>
        </w:tc>
        <w:tc>
          <w:tcPr>
            <w:tcW w:w="2319" w:type="dxa"/>
            <w:tcBorders>
              <w:top w:val="nil"/>
              <w:left w:val="nil"/>
              <w:bottom w:val="single" w:color="auto" w:sz="4" w:space="0"/>
              <w:right w:val="single" w:color="auto" w:sz="4" w:space="0"/>
            </w:tcBorders>
            <w:shd w:val="clear" w:color="auto" w:fill="auto"/>
            <w:vAlign w:val="center"/>
          </w:tcPr>
          <w:p w14:paraId="7DC07B7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JKLYJ-70mm²</w:t>
            </w:r>
          </w:p>
        </w:tc>
        <w:tc>
          <w:tcPr>
            <w:tcW w:w="800" w:type="dxa"/>
            <w:tcBorders>
              <w:top w:val="nil"/>
              <w:left w:val="nil"/>
              <w:bottom w:val="single" w:color="auto" w:sz="4" w:space="0"/>
              <w:right w:val="single" w:color="auto" w:sz="4" w:space="0"/>
            </w:tcBorders>
            <w:shd w:val="clear" w:color="auto" w:fill="auto"/>
            <w:vAlign w:val="center"/>
          </w:tcPr>
          <w:p w14:paraId="1C2CA6C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1193" w:type="dxa"/>
            <w:tcBorders>
              <w:top w:val="nil"/>
              <w:left w:val="nil"/>
              <w:bottom w:val="single" w:color="auto" w:sz="4" w:space="0"/>
              <w:right w:val="single" w:color="auto" w:sz="4" w:space="0"/>
            </w:tcBorders>
            <w:shd w:val="clear" w:color="auto" w:fill="auto"/>
            <w:noWrap/>
            <w:vAlign w:val="center"/>
          </w:tcPr>
          <w:p w14:paraId="6C4B55E3">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3000</w:t>
            </w:r>
          </w:p>
        </w:tc>
        <w:tc>
          <w:tcPr>
            <w:tcW w:w="1242" w:type="dxa"/>
            <w:tcBorders>
              <w:top w:val="nil"/>
              <w:left w:val="nil"/>
              <w:bottom w:val="single" w:color="auto" w:sz="4" w:space="0"/>
              <w:right w:val="single" w:color="auto" w:sz="4" w:space="0"/>
            </w:tcBorders>
            <w:shd w:val="clear" w:color="auto" w:fill="auto"/>
            <w:vAlign w:val="center"/>
          </w:tcPr>
          <w:p w14:paraId="12BB6E8F">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9.89</w:t>
            </w:r>
          </w:p>
        </w:tc>
        <w:tc>
          <w:tcPr>
            <w:tcW w:w="1395" w:type="dxa"/>
            <w:tcBorders>
              <w:top w:val="nil"/>
              <w:left w:val="nil"/>
              <w:bottom w:val="single" w:color="auto" w:sz="4" w:space="0"/>
              <w:right w:val="single" w:color="auto" w:sz="4" w:space="0"/>
            </w:tcBorders>
            <w:shd w:val="clear" w:color="auto" w:fill="auto"/>
            <w:noWrap/>
            <w:vAlign w:val="center"/>
          </w:tcPr>
          <w:p w14:paraId="57B5858C">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29670</w:t>
            </w:r>
          </w:p>
        </w:tc>
        <w:tc>
          <w:tcPr>
            <w:tcW w:w="709" w:type="dxa"/>
            <w:gridSpan w:val="2"/>
            <w:tcBorders>
              <w:top w:val="nil"/>
              <w:left w:val="nil"/>
              <w:bottom w:val="single" w:color="auto" w:sz="4" w:space="0"/>
              <w:right w:val="single" w:color="auto" w:sz="4" w:space="0"/>
            </w:tcBorders>
            <w:shd w:val="clear" w:color="auto" w:fill="auto"/>
            <w:noWrap/>
            <w:vAlign w:val="center"/>
          </w:tcPr>
          <w:p w14:paraId="458A6622">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w:t>
            </w:r>
          </w:p>
        </w:tc>
      </w:tr>
      <w:tr w14:paraId="4A5DA676">
        <w:tblPrEx>
          <w:tblCellMar>
            <w:top w:w="0" w:type="dxa"/>
            <w:left w:w="108" w:type="dxa"/>
            <w:bottom w:w="0" w:type="dxa"/>
            <w:right w:w="108" w:type="dxa"/>
          </w:tblCellMar>
        </w:tblPrEx>
        <w:trPr>
          <w:trHeight w:val="96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32FFE">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00728C3D">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14:paraId="3B897A20">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ZR-YJLV22-3×70mm²</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AC1383B">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米</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5DC5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3305</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D1D606B">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78.55</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8D2EF">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259607.75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8854C6">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w:t>
            </w:r>
          </w:p>
        </w:tc>
      </w:tr>
      <w:tr w14:paraId="7FDA7FA2">
        <w:tblPrEx>
          <w:tblCellMar>
            <w:top w:w="0" w:type="dxa"/>
            <w:left w:w="108" w:type="dxa"/>
            <w:bottom w:w="0" w:type="dxa"/>
            <w:right w:w="108" w:type="dxa"/>
          </w:tblCellMar>
        </w:tblPrEx>
        <w:trPr>
          <w:trHeight w:val="96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63985">
            <w:p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F6AB5">
            <w:pPr>
              <w:jc w:val="center"/>
              <w:rPr>
                <w:rFonts w:hint="eastAsia" w:ascii="仿宋" w:hAnsi="仿宋" w:eastAsia="仿宋" w:cs="仿宋"/>
                <w:i w:val="0"/>
                <w:iCs w:val="0"/>
                <w:color w:val="000000"/>
                <w:kern w:val="0"/>
                <w:sz w:val="22"/>
                <w:szCs w:val="22"/>
                <w:highlight w:val="none"/>
                <w:u w:val="none"/>
                <w:lang w:val="en-US" w:eastAsia="zh-CN" w:bidi="ar"/>
              </w:rPr>
            </w:pP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14:paraId="55F61A14">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US"/>
              </w:rPr>
            </w:pPr>
            <w:r>
              <w:rPr>
                <w:rFonts w:hint="eastAsia" w:ascii="仿宋" w:hAnsi="仿宋" w:eastAsia="仿宋" w:cs="仿宋"/>
                <w:i w:val="0"/>
                <w:iCs w:val="0"/>
                <w:color w:val="000000"/>
                <w:kern w:val="0"/>
                <w:sz w:val="22"/>
                <w:szCs w:val="22"/>
                <w:highlight w:val="none"/>
                <w:u w:val="none"/>
                <w:lang w:val="en-US" w:eastAsia="zh-CN" w:bidi="ar"/>
              </w:rPr>
              <w:t>合计</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3F65E44">
            <w:pPr>
              <w:jc w:val="center"/>
              <w:rPr>
                <w:rFonts w:hint="eastAsia" w:ascii="仿宋" w:hAnsi="仿宋" w:eastAsia="仿宋" w:cs="仿宋"/>
                <w:i w:val="0"/>
                <w:iCs w:val="0"/>
                <w:color w:val="000000"/>
                <w:kern w:val="0"/>
                <w:sz w:val="22"/>
                <w:szCs w:val="22"/>
                <w:highlight w:val="none"/>
                <w:u w:val="none"/>
                <w:lang w:val="en-US" w:eastAsia="zh-CN" w:bidi="ar"/>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6A31CB5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6305</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62B1854F">
            <w:pPr>
              <w:jc w:val="center"/>
              <w:rPr>
                <w:rFonts w:hint="eastAsia" w:ascii="仿宋" w:hAnsi="仿宋" w:eastAsia="仿宋" w:cs="仿宋"/>
                <w:i w:val="0"/>
                <w:iCs w:val="0"/>
                <w:color w:val="000000"/>
                <w:kern w:val="0"/>
                <w:sz w:val="22"/>
                <w:szCs w:val="22"/>
                <w:highlight w:val="none"/>
                <w:u w:val="none"/>
                <w:lang w:val="en-US" w:eastAsia="zh-CN" w:bidi="ar"/>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52AAF3C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289277.75</w:t>
            </w:r>
          </w:p>
        </w:tc>
        <w:tc>
          <w:tcPr>
            <w:tcW w:w="5" w:type="dxa"/>
            <w:tcBorders>
              <w:top w:val="single" w:color="auto" w:sz="4" w:space="0"/>
              <w:left w:val="single" w:color="auto" w:sz="4" w:space="0"/>
              <w:bottom w:val="single" w:color="auto" w:sz="4" w:space="0"/>
              <w:right w:val="single" w:color="auto" w:sz="4" w:space="0"/>
            </w:tcBorders>
            <w:shd w:val="clear" w:color="auto" w:fill="auto"/>
            <w:vAlign w:val="center"/>
          </w:tcPr>
          <w:p w14:paraId="2C1AA520">
            <w:pPr>
              <w:jc w:val="center"/>
              <w:rPr>
                <w:rFonts w:hint="eastAsia" w:ascii="仿宋" w:hAnsi="仿宋" w:eastAsia="仿宋" w:cs="仿宋"/>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D06BCB7">
            <w:pPr>
              <w:widowControl/>
              <w:jc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color w:val="000000"/>
                <w:kern w:val="0"/>
                <w:sz w:val="24"/>
                <w:szCs w:val="24"/>
                <w:highlight w:val="none"/>
              </w:rPr>
              <w:t>13%</w:t>
            </w:r>
          </w:p>
        </w:tc>
      </w:tr>
    </w:tbl>
    <w:p w14:paraId="51F7FDB0">
      <w:pPr>
        <w:spacing w:line="560" w:lineRule="exact"/>
        <w:ind w:firstLine="560" w:firstLineChars="200"/>
        <w:rPr>
          <w:rFonts w:ascii="仿宋" w:hAnsi="仿宋" w:eastAsia="仿宋"/>
          <w:sz w:val="28"/>
          <w:szCs w:val="28"/>
          <w:highlight w:val="none"/>
        </w:rPr>
      </w:pPr>
    </w:p>
    <w:p w14:paraId="0E4D2315">
      <w:pPr>
        <w:spacing w:line="560" w:lineRule="exact"/>
        <w:outlineLvl w:val="0"/>
        <w:rPr>
          <w:rFonts w:ascii="黑体" w:hAnsi="黑体" w:eastAsia="黑体" w:cs="黑体"/>
          <w:bCs/>
          <w:sz w:val="32"/>
          <w:szCs w:val="32"/>
          <w:highlight w:val="none"/>
        </w:rPr>
      </w:pPr>
    </w:p>
    <w:p w14:paraId="3B55375A">
      <w:pPr>
        <w:rPr>
          <w:rFonts w:asciiTheme="minorEastAsia" w:hAnsiTheme="minorEastAsia" w:eastAsiaTheme="minorEastAsia"/>
          <w:b w:val="0"/>
          <w:bCs/>
          <w:sz w:val="28"/>
          <w:szCs w:val="28"/>
          <w:highlight w:val="none"/>
        </w:rPr>
      </w:pPr>
      <w:r>
        <w:rPr>
          <w:rFonts w:ascii="黑体" w:hAnsi="黑体" w:eastAsia="黑体" w:cs="黑体"/>
          <w:bCs/>
          <w:sz w:val="32"/>
          <w:szCs w:val="32"/>
          <w:highlight w:val="none"/>
        </w:rPr>
        <w:br w:type="page"/>
      </w:r>
    </w:p>
    <w:p w14:paraId="058BC4CE">
      <w:pPr>
        <w:widowControl/>
        <w:autoSpaceDE w:val="0"/>
        <w:autoSpaceDN w:val="0"/>
        <w:adjustRightInd w:val="0"/>
        <w:spacing w:line="560" w:lineRule="exact"/>
        <w:rPr>
          <w:rStyle w:val="43"/>
          <w:rFonts w:cs="仿宋"/>
          <w:sz w:val="24"/>
          <w:szCs w:val="24"/>
          <w:highlight w:val="none"/>
        </w:rPr>
      </w:pPr>
      <w:bookmarkStart w:id="33" w:name="_Toc300835213"/>
      <w:bookmarkStart w:id="34" w:name="_Toc144974860"/>
      <w:bookmarkStart w:id="35" w:name="_Toc247514283"/>
      <w:bookmarkStart w:id="36" w:name="_Toc152045791"/>
      <w:bookmarkStart w:id="37" w:name="_Toc247527831"/>
      <w:bookmarkStart w:id="38" w:name="_Toc152042580"/>
      <w:r>
        <w:rPr>
          <w:rStyle w:val="43"/>
          <w:rFonts w:hint="eastAsia" w:cs="仿宋"/>
          <w:sz w:val="24"/>
          <w:szCs w:val="24"/>
          <w:highlight w:val="none"/>
        </w:rPr>
        <w:t xml:space="preserve">附件                          </w:t>
      </w:r>
    </w:p>
    <w:p w14:paraId="2EFA22F2">
      <w:pPr>
        <w:spacing w:line="560" w:lineRule="exact"/>
        <w:jc w:val="center"/>
        <w:rPr>
          <w:rFonts w:ascii="仿宋" w:hAnsi="仿宋" w:eastAsia="仿宋" w:cs="仿宋"/>
          <w:sz w:val="28"/>
          <w:szCs w:val="28"/>
          <w:highlight w:val="none"/>
        </w:rPr>
      </w:pPr>
      <w:r>
        <w:rPr>
          <w:rFonts w:hint="eastAsia" w:ascii="仿宋" w:hAnsi="仿宋" w:eastAsia="仿宋" w:cs="仿宋"/>
          <w:sz w:val="32"/>
          <w:szCs w:val="32"/>
          <w:highlight w:val="none"/>
        </w:rPr>
        <w:t>法定代表人身份证明</w:t>
      </w:r>
      <w:bookmarkEnd w:id="33"/>
      <w:bookmarkEnd w:id="34"/>
      <w:bookmarkEnd w:id="35"/>
      <w:bookmarkEnd w:id="36"/>
      <w:bookmarkEnd w:id="37"/>
      <w:bookmarkEnd w:id="38"/>
    </w:p>
    <w:p w14:paraId="420DD045">
      <w:pPr>
        <w:spacing w:line="560" w:lineRule="exact"/>
        <w:rPr>
          <w:rFonts w:ascii="仿宋" w:hAnsi="仿宋" w:eastAsia="仿宋" w:cs="仿宋"/>
          <w:sz w:val="28"/>
          <w:szCs w:val="28"/>
          <w:highlight w:val="none"/>
        </w:rPr>
      </w:pPr>
    </w:p>
    <w:p w14:paraId="60C5320E">
      <w:pPr>
        <w:spacing w:line="560" w:lineRule="exact"/>
        <w:rPr>
          <w:rStyle w:val="43"/>
          <w:sz w:val="28"/>
          <w:szCs w:val="28"/>
          <w:highlight w:val="none"/>
          <w:u w:val="single"/>
        </w:rPr>
      </w:pPr>
      <w:r>
        <w:rPr>
          <w:rFonts w:hint="eastAsia" w:ascii="仿宋" w:hAnsi="仿宋" w:eastAsia="仿宋" w:cs="仿宋"/>
          <w:sz w:val="28"/>
          <w:szCs w:val="28"/>
          <w:highlight w:val="none"/>
        </w:rPr>
        <w:t>供应商名称：</w:t>
      </w:r>
    </w:p>
    <w:p w14:paraId="467A14DD">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单位性质：</w:t>
      </w:r>
    </w:p>
    <w:p w14:paraId="7869CD74">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地址：</w:t>
      </w:r>
    </w:p>
    <w:p w14:paraId="0E777EFE">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成立时间：年月日</w:t>
      </w:r>
    </w:p>
    <w:p w14:paraId="3DC8360D">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经营期限：</w:t>
      </w:r>
    </w:p>
    <w:p w14:paraId="28823913">
      <w:pPr>
        <w:spacing w:line="560" w:lineRule="exact"/>
        <w:rPr>
          <w:rFonts w:ascii="仿宋" w:hAnsi="仿宋" w:eastAsia="仿宋" w:cs="仿宋"/>
          <w:sz w:val="28"/>
          <w:szCs w:val="28"/>
          <w:highlight w:val="none"/>
        </w:rPr>
      </w:pPr>
    </w:p>
    <w:p w14:paraId="7D3C2DF9">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姓名：性别：年龄：职务：</w:t>
      </w:r>
    </w:p>
    <w:p w14:paraId="05692129">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（供应商名称）</w:t>
      </w:r>
      <w:r>
        <w:rPr>
          <w:rFonts w:hint="eastAsia" w:ascii="仿宋" w:hAnsi="仿宋" w:eastAsia="仿宋" w:cs="仿宋"/>
          <w:sz w:val="28"/>
          <w:szCs w:val="28"/>
          <w:highlight w:val="none"/>
        </w:rPr>
        <w:t>的法定代表人。</w:t>
      </w:r>
    </w:p>
    <w:p w14:paraId="649FDF45">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54F9FADD">
      <w:pPr>
        <w:spacing w:line="560" w:lineRule="exact"/>
        <w:rPr>
          <w:rFonts w:ascii="仿宋" w:hAnsi="仿宋" w:eastAsia="仿宋" w:cs="仿宋"/>
          <w:sz w:val="28"/>
          <w:szCs w:val="28"/>
          <w:highlight w:val="none"/>
        </w:rPr>
      </w:pPr>
    </w:p>
    <w:p w14:paraId="155A2925">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14:paraId="33942B5A">
      <w:pPr>
        <w:spacing w:line="560" w:lineRule="exact"/>
        <w:rPr>
          <w:rFonts w:ascii="仿宋" w:hAnsi="仿宋" w:eastAsia="仿宋" w:cs="仿宋"/>
          <w:sz w:val="28"/>
          <w:szCs w:val="28"/>
          <w:highlight w:val="none"/>
        </w:rPr>
      </w:pPr>
    </w:p>
    <w:p w14:paraId="7E4DA170">
      <w:pPr>
        <w:spacing w:line="560" w:lineRule="exact"/>
        <w:rPr>
          <w:rFonts w:ascii="仿宋" w:hAnsi="仿宋" w:eastAsia="仿宋" w:cs="仿宋"/>
          <w:sz w:val="28"/>
          <w:szCs w:val="28"/>
          <w:highlight w:val="none"/>
        </w:rPr>
      </w:pPr>
    </w:p>
    <w:p w14:paraId="51E9B62A">
      <w:pPr>
        <w:spacing w:line="560" w:lineRule="exact"/>
        <w:rPr>
          <w:rFonts w:ascii="仿宋" w:hAnsi="仿宋" w:eastAsia="仿宋" w:cs="仿宋"/>
          <w:sz w:val="28"/>
          <w:szCs w:val="28"/>
          <w:highlight w:val="none"/>
        </w:rPr>
      </w:pPr>
    </w:p>
    <w:p w14:paraId="060DAD6E">
      <w:pPr>
        <w:spacing w:line="560" w:lineRule="exact"/>
        <w:rPr>
          <w:rFonts w:ascii="仿宋" w:hAnsi="仿宋" w:eastAsia="仿宋" w:cs="仿宋"/>
          <w:sz w:val="28"/>
          <w:szCs w:val="28"/>
          <w:highlight w:val="none"/>
        </w:rPr>
      </w:pPr>
    </w:p>
    <w:p w14:paraId="50D14411">
      <w:pPr>
        <w:spacing w:line="560" w:lineRule="exact"/>
        <w:rPr>
          <w:rFonts w:ascii="仿宋" w:hAnsi="仿宋" w:eastAsia="仿宋" w:cs="仿宋"/>
          <w:sz w:val="28"/>
          <w:szCs w:val="28"/>
          <w:highlight w:val="none"/>
        </w:rPr>
      </w:pPr>
    </w:p>
    <w:p w14:paraId="7187E191">
      <w:pPr>
        <w:spacing w:line="560" w:lineRule="exact"/>
        <w:rPr>
          <w:rFonts w:ascii="仿宋" w:hAnsi="仿宋" w:eastAsia="仿宋" w:cs="仿宋"/>
          <w:sz w:val="28"/>
          <w:szCs w:val="28"/>
          <w:highlight w:val="none"/>
        </w:rPr>
      </w:pPr>
    </w:p>
    <w:p w14:paraId="67FB1E05">
      <w:pPr>
        <w:spacing w:line="5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（公章） </w:t>
      </w:r>
      <w:r>
        <w:rPr>
          <w:rFonts w:hint="eastAsia" w:ascii="仿宋" w:hAnsi="仿宋" w:eastAsia="仿宋" w:cs="仿宋"/>
          <w:sz w:val="28"/>
          <w:szCs w:val="28"/>
          <w:highlight w:val="none"/>
          <w:u w:val="single"/>
        </w:rPr>
        <w:t xml:space="preserve">      </w:t>
      </w:r>
    </w:p>
    <w:p w14:paraId="22823DC8">
      <w:pPr>
        <w:spacing w:line="5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 xml:space="preserve">年  月  日           </w:t>
      </w:r>
    </w:p>
    <w:p w14:paraId="791E3D1B">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br w:type="page"/>
      </w:r>
      <w:r>
        <w:rPr>
          <w:rStyle w:val="43"/>
          <w:rFonts w:hint="eastAsia" w:cs="仿宋"/>
          <w:sz w:val="24"/>
          <w:szCs w:val="24"/>
          <w:highlight w:val="none"/>
        </w:rPr>
        <w:t xml:space="preserve">附件    </w:t>
      </w:r>
    </w:p>
    <w:p w14:paraId="083EA4F9">
      <w:pPr>
        <w:spacing w:line="56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法定代表人授权委托书</w:t>
      </w:r>
    </w:p>
    <w:p w14:paraId="6B3C26CE">
      <w:pPr>
        <w:widowControl/>
        <w:autoSpaceDE w:val="0"/>
        <w:autoSpaceDN w:val="0"/>
        <w:adjustRightInd w:val="0"/>
        <w:spacing w:line="560" w:lineRule="exact"/>
        <w:rPr>
          <w:rFonts w:ascii="仿宋" w:hAnsi="仿宋" w:eastAsia="仿宋" w:cs="仿宋"/>
          <w:kern w:val="1"/>
          <w:sz w:val="28"/>
          <w:szCs w:val="28"/>
          <w:highlight w:val="none"/>
        </w:rPr>
      </w:pPr>
    </w:p>
    <w:p w14:paraId="364217DE">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u w:val="single"/>
        </w:rPr>
        <w:t xml:space="preserve">   （采购人）  </w:t>
      </w:r>
      <w:r>
        <w:rPr>
          <w:rStyle w:val="43"/>
          <w:rFonts w:hint="eastAsia" w:cs="仿宋"/>
          <w:sz w:val="28"/>
          <w:szCs w:val="28"/>
          <w:highlight w:val="none"/>
        </w:rPr>
        <w:t>：</w:t>
      </w:r>
    </w:p>
    <w:p w14:paraId="3CF0CBD4">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我</w:t>
      </w:r>
      <w:r>
        <w:rPr>
          <w:rFonts w:hint="eastAsia" w:ascii="仿宋" w:hAnsi="仿宋" w:eastAsia="仿宋" w:cs="仿宋"/>
          <w:kern w:val="1"/>
          <w:sz w:val="28"/>
          <w:szCs w:val="28"/>
          <w:highlight w:val="none"/>
          <w:u w:val="single"/>
        </w:rPr>
        <w:t xml:space="preserve">   （姓名） </w:t>
      </w:r>
      <w:r>
        <w:rPr>
          <w:rStyle w:val="43"/>
          <w:rFonts w:hint="eastAsia" w:cs="仿宋"/>
          <w:sz w:val="28"/>
          <w:szCs w:val="28"/>
          <w:highlight w:val="none"/>
        </w:rPr>
        <w:t>系</w:t>
      </w:r>
      <w:r>
        <w:rPr>
          <w:rFonts w:hint="eastAsia" w:ascii="仿宋" w:hAnsi="仿宋" w:eastAsia="仿宋" w:cs="仿宋"/>
          <w:kern w:val="1"/>
          <w:sz w:val="28"/>
          <w:szCs w:val="28"/>
          <w:highlight w:val="none"/>
          <w:u w:val="single"/>
        </w:rPr>
        <w:t xml:space="preserve">    （供应商名称）</w:t>
      </w:r>
      <w:r>
        <w:rPr>
          <w:rStyle w:val="43"/>
          <w:rFonts w:hint="eastAsia" w:cs="仿宋"/>
          <w:sz w:val="28"/>
          <w:szCs w:val="28"/>
          <w:highlight w:val="none"/>
        </w:rPr>
        <w:t>法定代表人，现授权委托我公司的</w:t>
      </w:r>
      <w:r>
        <w:rPr>
          <w:rFonts w:hint="eastAsia" w:ascii="仿宋" w:hAnsi="仿宋" w:eastAsia="仿宋" w:cs="仿宋"/>
          <w:kern w:val="1"/>
          <w:sz w:val="28"/>
          <w:szCs w:val="28"/>
          <w:highlight w:val="none"/>
          <w:u w:val="single"/>
        </w:rPr>
        <w:t xml:space="preserve">  （姓名、职务或者职称）</w:t>
      </w:r>
      <w:r>
        <w:rPr>
          <w:rStyle w:val="43"/>
          <w:rFonts w:hint="eastAsia" w:cs="仿宋"/>
          <w:sz w:val="28"/>
          <w:szCs w:val="28"/>
          <w:highlight w:val="none"/>
        </w:rPr>
        <w:t>为我公司本次项目的授权代表，代表我方办理本次报价、签约等相关事宜，签署全部有关的文件、协议、合同并具有法律效力。</w:t>
      </w:r>
    </w:p>
    <w:p w14:paraId="3D87D42D">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在我方未发出撤销授权委托书的书面通知以前，本授权委托书一直有效。被授权人签署的所有文件（在授权书有效期内签署的）不因授权撤销而失效。</w:t>
      </w:r>
    </w:p>
    <w:p w14:paraId="693A68EE">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被授权代表无权转让委托权。特此授权。</w:t>
      </w:r>
    </w:p>
    <w:p w14:paraId="793268C6">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本授权委托书于</w:t>
      </w:r>
      <w:r>
        <w:rPr>
          <w:rStyle w:val="43"/>
          <w:rFonts w:hint="eastAsia" w:cs="仿宋"/>
          <w:sz w:val="28"/>
          <w:szCs w:val="28"/>
          <w:highlight w:val="none"/>
          <w:u w:val="single"/>
        </w:rPr>
        <w:t xml:space="preserve">    </w:t>
      </w:r>
      <w:r>
        <w:rPr>
          <w:rStyle w:val="43"/>
          <w:rFonts w:hint="eastAsia" w:cs="仿宋"/>
          <w:sz w:val="28"/>
          <w:szCs w:val="28"/>
          <w:highlight w:val="none"/>
        </w:rPr>
        <w:t>年</w:t>
      </w:r>
      <w:r>
        <w:rPr>
          <w:rStyle w:val="43"/>
          <w:rFonts w:hint="eastAsia" w:cs="仿宋"/>
          <w:sz w:val="28"/>
          <w:szCs w:val="28"/>
          <w:highlight w:val="none"/>
          <w:u w:val="single"/>
        </w:rPr>
        <w:t xml:space="preserve">     </w:t>
      </w:r>
      <w:r>
        <w:rPr>
          <w:rStyle w:val="43"/>
          <w:rFonts w:hint="eastAsia" w:cs="仿宋"/>
          <w:sz w:val="28"/>
          <w:szCs w:val="28"/>
          <w:highlight w:val="none"/>
        </w:rPr>
        <w:t>月</w:t>
      </w:r>
      <w:r>
        <w:rPr>
          <w:rStyle w:val="43"/>
          <w:rFonts w:hint="eastAsia" w:cs="仿宋"/>
          <w:sz w:val="28"/>
          <w:szCs w:val="28"/>
          <w:highlight w:val="none"/>
          <w:u w:val="single"/>
        </w:rPr>
        <w:t xml:space="preserve">      </w:t>
      </w:r>
      <w:r>
        <w:rPr>
          <w:rStyle w:val="43"/>
          <w:rFonts w:hint="eastAsia" w:cs="仿宋"/>
          <w:sz w:val="28"/>
          <w:szCs w:val="28"/>
          <w:highlight w:val="none"/>
        </w:rPr>
        <w:t>日起签字生效,特此声明。</w:t>
      </w:r>
    </w:p>
    <w:p w14:paraId="05E7A9DC">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rPr>
        <w:t xml:space="preserve"> </w:t>
      </w:r>
    </w:p>
    <w:p w14:paraId="2B6EE273">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(附法人代表身份证以及被授权代表身份证复印件)</w:t>
      </w:r>
    </w:p>
    <w:p w14:paraId="0EBC0B17">
      <w:pPr>
        <w:widowControl/>
        <w:autoSpaceDE w:val="0"/>
        <w:autoSpaceDN w:val="0"/>
        <w:adjustRightInd w:val="0"/>
        <w:spacing w:line="560" w:lineRule="exact"/>
        <w:jc w:val="center"/>
        <w:rPr>
          <w:rFonts w:ascii="仿宋" w:hAnsi="仿宋" w:eastAsia="仿宋" w:cs="仿宋"/>
          <w:kern w:val="1"/>
          <w:sz w:val="28"/>
          <w:szCs w:val="28"/>
          <w:highlight w:val="none"/>
        </w:rPr>
      </w:pPr>
    </w:p>
    <w:p w14:paraId="094000CE">
      <w:pPr>
        <w:widowControl/>
        <w:autoSpaceDE w:val="0"/>
        <w:autoSpaceDN w:val="0"/>
        <w:adjustRightInd w:val="0"/>
        <w:spacing w:line="560" w:lineRule="exact"/>
        <w:jc w:val="center"/>
        <w:rPr>
          <w:rFonts w:ascii="仿宋" w:hAnsi="仿宋" w:eastAsia="仿宋" w:cs="仿宋"/>
          <w:kern w:val="1"/>
          <w:sz w:val="28"/>
          <w:szCs w:val="28"/>
          <w:highlight w:val="none"/>
        </w:rPr>
      </w:pPr>
    </w:p>
    <w:p w14:paraId="6280E931">
      <w:pPr>
        <w:widowControl/>
        <w:autoSpaceDE w:val="0"/>
        <w:autoSpaceDN w:val="0"/>
        <w:adjustRightInd w:val="0"/>
        <w:spacing w:line="560" w:lineRule="exact"/>
        <w:rPr>
          <w:rStyle w:val="43"/>
          <w:rFonts w:cs="仿宋"/>
          <w:sz w:val="28"/>
          <w:szCs w:val="28"/>
          <w:highlight w:val="none"/>
          <w:u w:val="single"/>
        </w:rPr>
      </w:pPr>
      <w:r>
        <w:rPr>
          <w:rStyle w:val="43"/>
          <w:rFonts w:hint="eastAsia" w:cs="仿宋"/>
          <w:sz w:val="28"/>
          <w:szCs w:val="28"/>
          <w:highlight w:val="none"/>
        </w:rPr>
        <w:t>被授权代表姓名：       性 别：     年 龄：</w:t>
      </w:r>
    </w:p>
    <w:p w14:paraId="729055FD">
      <w:pPr>
        <w:widowControl/>
        <w:autoSpaceDE w:val="0"/>
        <w:autoSpaceDN w:val="0"/>
        <w:adjustRightInd w:val="0"/>
        <w:spacing w:line="560" w:lineRule="exact"/>
        <w:rPr>
          <w:rStyle w:val="43"/>
          <w:rFonts w:cs="仿宋"/>
          <w:sz w:val="28"/>
          <w:szCs w:val="28"/>
          <w:highlight w:val="none"/>
          <w:u w:val="single"/>
        </w:rPr>
      </w:pPr>
      <w:r>
        <w:rPr>
          <w:rStyle w:val="43"/>
          <w:rFonts w:hint="eastAsia" w:cs="仿宋"/>
          <w:sz w:val="28"/>
          <w:szCs w:val="28"/>
          <w:highlight w:val="none"/>
        </w:rPr>
        <w:t>单  位：                     部 门：     职 务：</w:t>
      </w:r>
    </w:p>
    <w:p w14:paraId="5870965F">
      <w:pPr>
        <w:widowControl/>
        <w:autoSpaceDE w:val="0"/>
        <w:autoSpaceDN w:val="0"/>
        <w:adjustRightInd w:val="0"/>
        <w:spacing w:line="560" w:lineRule="exact"/>
        <w:rPr>
          <w:rFonts w:ascii="仿宋" w:hAnsi="仿宋" w:eastAsia="仿宋" w:cs="仿宋"/>
          <w:kern w:val="1"/>
          <w:sz w:val="28"/>
          <w:szCs w:val="28"/>
          <w:highlight w:val="none"/>
        </w:rPr>
      </w:pPr>
    </w:p>
    <w:p w14:paraId="1B99656F">
      <w:pPr>
        <w:widowControl/>
        <w:autoSpaceDE w:val="0"/>
        <w:autoSpaceDN w:val="0"/>
        <w:adjustRightInd w:val="0"/>
        <w:spacing w:line="560" w:lineRule="exact"/>
        <w:ind w:firstLine="4200" w:firstLineChars="1500"/>
        <w:rPr>
          <w:rStyle w:val="43"/>
          <w:rFonts w:cs="仿宋"/>
          <w:sz w:val="28"/>
          <w:szCs w:val="28"/>
          <w:highlight w:val="none"/>
          <w:u w:val="single"/>
        </w:rPr>
      </w:pPr>
      <w:r>
        <w:rPr>
          <w:rStyle w:val="43"/>
          <w:rFonts w:hint="eastAsia" w:cs="仿宋"/>
          <w:sz w:val="28"/>
          <w:szCs w:val="28"/>
          <w:highlight w:val="none"/>
        </w:rPr>
        <w:t>供应商（公章）：</w:t>
      </w:r>
    </w:p>
    <w:p w14:paraId="55D36F73">
      <w:pPr>
        <w:widowControl/>
        <w:autoSpaceDE w:val="0"/>
        <w:autoSpaceDN w:val="0"/>
        <w:adjustRightInd w:val="0"/>
        <w:spacing w:line="560" w:lineRule="exact"/>
        <w:ind w:firstLine="4200" w:firstLineChars="1500"/>
        <w:rPr>
          <w:rStyle w:val="43"/>
          <w:rFonts w:cs="仿宋"/>
          <w:sz w:val="28"/>
          <w:szCs w:val="28"/>
          <w:highlight w:val="none"/>
          <w:u w:val="single"/>
        </w:rPr>
      </w:pPr>
      <w:r>
        <w:rPr>
          <w:rStyle w:val="43"/>
          <w:rFonts w:hint="eastAsia" w:cs="仿宋"/>
          <w:sz w:val="28"/>
          <w:szCs w:val="28"/>
          <w:highlight w:val="none"/>
        </w:rPr>
        <w:t>法定代表人（签字）：</w:t>
      </w:r>
    </w:p>
    <w:p w14:paraId="0D051E07">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日 期：      年   月   日</w:t>
      </w:r>
    </w:p>
    <w:p w14:paraId="4203744E">
      <w:pPr>
        <w:widowControl/>
        <w:autoSpaceDE w:val="0"/>
        <w:autoSpaceDN w:val="0"/>
        <w:adjustRightInd w:val="0"/>
        <w:spacing w:line="560" w:lineRule="exact"/>
        <w:rPr>
          <w:rFonts w:ascii="仿宋" w:hAnsi="仿宋" w:eastAsia="仿宋" w:cs="仿宋"/>
          <w:szCs w:val="21"/>
          <w:highlight w:val="none"/>
        </w:rPr>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6281">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34</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1C65">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hjMGRlZjUxYzk1MDA0ZTMwMTBlZmEyMTI1NDc1ZWMifQ=="/>
  </w:docVars>
  <w:rsids>
    <w:rsidRoot w:val="002A068C"/>
    <w:rsid w:val="00000A24"/>
    <w:rsid w:val="0001263A"/>
    <w:rsid w:val="0001346E"/>
    <w:rsid w:val="000153E7"/>
    <w:rsid w:val="00015B21"/>
    <w:rsid w:val="00022A4A"/>
    <w:rsid w:val="00022F25"/>
    <w:rsid w:val="000277AD"/>
    <w:rsid w:val="00027C90"/>
    <w:rsid w:val="00034050"/>
    <w:rsid w:val="000367E1"/>
    <w:rsid w:val="00043B5D"/>
    <w:rsid w:val="0004725B"/>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3E7A"/>
    <w:rsid w:val="0009478B"/>
    <w:rsid w:val="00095E5A"/>
    <w:rsid w:val="000968D0"/>
    <w:rsid w:val="000A5498"/>
    <w:rsid w:val="000A5DA9"/>
    <w:rsid w:val="000A6840"/>
    <w:rsid w:val="000B6D30"/>
    <w:rsid w:val="000C1836"/>
    <w:rsid w:val="000C537E"/>
    <w:rsid w:val="000C70FF"/>
    <w:rsid w:val="000C7715"/>
    <w:rsid w:val="000D1DDD"/>
    <w:rsid w:val="000D5EC7"/>
    <w:rsid w:val="000E03B4"/>
    <w:rsid w:val="000E13F9"/>
    <w:rsid w:val="000E190C"/>
    <w:rsid w:val="000E3660"/>
    <w:rsid w:val="000E4C75"/>
    <w:rsid w:val="0010179C"/>
    <w:rsid w:val="00103A83"/>
    <w:rsid w:val="00116CDF"/>
    <w:rsid w:val="0012476C"/>
    <w:rsid w:val="00134134"/>
    <w:rsid w:val="001369C5"/>
    <w:rsid w:val="00136D33"/>
    <w:rsid w:val="0013735F"/>
    <w:rsid w:val="001404D8"/>
    <w:rsid w:val="0014169B"/>
    <w:rsid w:val="0014340A"/>
    <w:rsid w:val="00145072"/>
    <w:rsid w:val="00152BDF"/>
    <w:rsid w:val="00155409"/>
    <w:rsid w:val="00164834"/>
    <w:rsid w:val="00170C48"/>
    <w:rsid w:val="00174687"/>
    <w:rsid w:val="00184478"/>
    <w:rsid w:val="00185BF5"/>
    <w:rsid w:val="00192766"/>
    <w:rsid w:val="00192C98"/>
    <w:rsid w:val="00196957"/>
    <w:rsid w:val="001A1A23"/>
    <w:rsid w:val="001A5E8C"/>
    <w:rsid w:val="001B1D52"/>
    <w:rsid w:val="001B3C10"/>
    <w:rsid w:val="001B7DF1"/>
    <w:rsid w:val="001C0D47"/>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BD7"/>
    <w:rsid w:val="0022466F"/>
    <w:rsid w:val="00224AC5"/>
    <w:rsid w:val="00232E85"/>
    <w:rsid w:val="00233986"/>
    <w:rsid w:val="00237516"/>
    <w:rsid w:val="00237B4F"/>
    <w:rsid w:val="00242C3A"/>
    <w:rsid w:val="002554CA"/>
    <w:rsid w:val="002618C8"/>
    <w:rsid w:val="00262280"/>
    <w:rsid w:val="00263EE8"/>
    <w:rsid w:val="00265392"/>
    <w:rsid w:val="00273059"/>
    <w:rsid w:val="00277738"/>
    <w:rsid w:val="00281A9B"/>
    <w:rsid w:val="00282C9B"/>
    <w:rsid w:val="00284883"/>
    <w:rsid w:val="002860EF"/>
    <w:rsid w:val="00286691"/>
    <w:rsid w:val="00286D81"/>
    <w:rsid w:val="002903EF"/>
    <w:rsid w:val="0029173B"/>
    <w:rsid w:val="00291E87"/>
    <w:rsid w:val="002930F7"/>
    <w:rsid w:val="00293F02"/>
    <w:rsid w:val="00294078"/>
    <w:rsid w:val="00294C06"/>
    <w:rsid w:val="0029592E"/>
    <w:rsid w:val="00295ABA"/>
    <w:rsid w:val="00297A80"/>
    <w:rsid w:val="002A068C"/>
    <w:rsid w:val="002A25C3"/>
    <w:rsid w:val="002A7FBD"/>
    <w:rsid w:val="002B0D61"/>
    <w:rsid w:val="002B0E43"/>
    <w:rsid w:val="002B346F"/>
    <w:rsid w:val="002B5952"/>
    <w:rsid w:val="002B7D8D"/>
    <w:rsid w:val="002C6D83"/>
    <w:rsid w:val="002D09AD"/>
    <w:rsid w:val="002D0BA6"/>
    <w:rsid w:val="002D1D3F"/>
    <w:rsid w:val="002E6073"/>
    <w:rsid w:val="002F33A1"/>
    <w:rsid w:val="002F4E52"/>
    <w:rsid w:val="00300FDD"/>
    <w:rsid w:val="00303E41"/>
    <w:rsid w:val="00310700"/>
    <w:rsid w:val="0031165D"/>
    <w:rsid w:val="00314984"/>
    <w:rsid w:val="00316770"/>
    <w:rsid w:val="00324EF3"/>
    <w:rsid w:val="00325BB2"/>
    <w:rsid w:val="0033014C"/>
    <w:rsid w:val="003305E1"/>
    <w:rsid w:val="00331890"/>
    <w:rsid w:val="00334F71"/>
    <w:rsid w:val="0033579B"/>
    <w:rsid w:val="00335CFE"/>
    <w:rsid w:val="00337677"/>
    <w:rsid w:val="0034100C"/>
    <w:rsid w:val="00342E79"/>
    <w:rsid w:val="00345F3C"/>
    <w:rsid w:val="00351413"/>
    <w:rsid w:val="0035573F"/>
    <w:rsid w:val="00355C82"/>
    <w:rsid w:val="0035663E"/>
    <w:rsid w:val="00360ACF"/>
    <w:rsid w:val="00362414"/>
    <w:rsid w:val="003635C1"/>
    <w:rsid w:val="00374513"/>
    <w:rsid w:val="003768AE"/>
    <w:rsid w:val="0039144B"/>
    <w:rsid w:val="003961B0"/>
    <w:rsid w:val="003A043D"/>
    <w:rsid w:val="003B0702"/>
    <w:rsid w:val="003B5CD9"/>
    <w:rsid w:val="003B6BF5"/>
    <w:rsid w:val="003C00FD"/>
    <w:rsid w:val="003C1CA6"/>
    <w:rsid w:val="003C3454"/>
    <w:rsid w:val="003D2EAD"/>
    <w:rsid w:val="003D3919"/>
    <w:rsid w:val="003D630F"/>
    <w:rsid w:val="003D76E8"/>
    <w:rsid w:val="003E3685"/>
    <w:rsid w:val="003E4C8B"/>
    <w:rsid w:val="003F031B"/>
    <w:rsid w:val="003F231D"/>
    <w:rsid w:val="003F4397"/>
    <w:rsid w:val="00400C78"/>
    <w:rsid w:val="00400F47"/>
    <w:rsid w:val="00402253"/>
    <w:rsid w:val="00404905"/>
    <w:rsid w:val="00404B21"/>
    <w:rsid w:val="00411CB2"/>
    <w:rsid w:val="004151AA"/>
    <w:rsid w:val="00420E31"/>
    <w:rsid w:val="00432FB1"/>
    <w:rsid w:val="00434C8A"/>
    <w:rsid w:val="004359BE"/>
    <w:rsid w:val="0043685A"/>
    <w:rsid w:val="00440D6A"/>
    <w:rsid w:val="00441E4E"/>
    <w:rsid w:val="00442503"/>
    <w:rsid w:val="00443280"/>
    <w:rsid w:val="00453487"/>
    <w:rsid w:val="00453AB1"/>
    <w:rsid w:val="004630EE"/>
    <w:rsid w:val="00470155"/>
    <w:rsid w:val="00470932"/>
    <w:rsid w:val="004741A0"/>
    <w:rsid w:val="00474B72"/>
    <w:rsid w:val="004779E6"/>
    <w:rsid w:val="00484384"/>
    <w:rsid w:val="00493BE4"/>
    <w:rsid w:val="004968A2"/>
    <w:rsid w:val="004A08F9"/>
    <w:rsid w:val="004A1B73"/>
    <w:rsid w:val="004A3710"/>
    <w:rsid w:val="004B0792"/>
    <w:rsid w:val="004C3BB2"/>
    <w:rsid w:val="004D3BB6"/>
    <w:rsid w:val="004D424D"/>
    <w:rsid w:val="004D670A"/>
    <w:rsid w:val="004D7CB1"/>
    <w:rsid w:val="004F0787"/>
    <w:rsid w:val="004F2902"/>
    <w:rsid w:val="005048B8"/>
    <w:rsid w:val="00511276"/>
    <w:rsid w:val="00514FCA"/>
    <w:rsid w:val="0052176F"/>
    <w:rsid w:val="0052406E"/>
    <w:rsid w:val="00525736"/>
    <w:rsid w:val="00531506"/>
    <w:rsid w:val="00537B86"/>
    <w:rsid w:val="005412D5"/>
    <w:rsid w:val="00541D35"/>
    <w:rsid w:val="0054260D"/>
    <w:rsid w:val="00542B3F"/>
    <w:rsid w:val="00544E15"/>
    <w:rsid w:val="00544E2E"/>
    <w:rsid w:val="00546F1A"/>
    <w:rsid w:val="0054707D"/>
    <w:rsid w:val="00547583"/>
    <w:rsid w:val="00551FAC"/>
    <w:rsid w:val="00552F38"/>
    <w:rsid w:val="0055632A"/>
    <w:rsid w:val="00557A72"/>
    <w:rsid w:val="00560E38"/>
    <w:rsid w:val="0056152B"/>
    <w:rsid w:val="00565B30"/>
    <w:rsid w:val="005677F0"/>
    <w:rsid w:val="00572BC9"/>
    <w:rsid w:val="00573183"/>
    <w:rsid w:val="00573B08"/>
    <w:rsid w:val="005746A7"/>
    <w:rsid w:val="00574BF6"/>
    <w:rsid w:val="00580835"/>
    <w:rsid w:val="00582294"/>
    <w:rsid w:val="005826D8"/>
    <w:rsid w:val="00591523"/>
    <w:rsid w:val="0059465E"/>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6010C0"/>
    <w:rsid w:val="00603B13"/>
    <w:rsid w:val="006055AA"/>
    <w:rsid w:val="006055E4"/>
    <w:rsid w:val="00613F96"/>
    <w:rsid w:val="006179CC"/>
    <w:rsid w:val="00630E4B"/>
    <w:rsid w:val="006321B7"/>
    <w:rsid w:val="00636209"/>
    <w:rsid w:val="00642238"/>
    <w:rsid w:val="00654F08"/>
    <w:rsid w:val="006626EF"/>
    <w:rsid w:val="00663EAB"/>
    <w:rsid w:val="0066419D"/>
    <w:rsid w:val="00667E93"/>
    <w:rsid w:val="00676C80"/>
    <w:rsid w:val="006818C9"/>
    <w:rsid w:val="00686656"/>
    <w:rsid w:val="00695B00"/>
    <w:rsid w:val="00697E94"/>
    <w:rsid w:val="00697F39"/>
    <w:rsid w:val="006A0655"/>
    <w:rsid w:val="006A215E"/>
    <w:rsid w:val="006A5798"/>
    <w:rsid w:val="006B03C1"/>
    <w:rsid w:val="006B3266"/>
    <w:rsid w:val="006B4B61"/>
    <w:rsid w:val="006C37FE"/>
    <w:rsid w:val="006C60D4"/>
    <w:rsid w:val="006C7358"/>
    <w:rsid w:val="006D23D0"/>
    <w:rsid w:val="006D3F3D"/>
    <w:rsid w:val="006D4414"/>
    <w:rsid w:val="006E3A19"/>
    <w:rsid w:val="006E522C"/>
    <w:rsid w:val="006F0113"/>
    <w:rsid w:val="006F31A4"/>
    <w:rsid w:val="006F453C"/>
    <w:rsid w:val="006F7EF9"/>
    <w:rsid w:val="007000D8"/>
    <w:rsid w:val="00701A4E"/>
    <w:rsid w:val="00702E0E"/>
    <w:rsid w:val="00703107"/>
    <w:rsid w:val="00705D12"/>
    <w:rsid w:val="007074CD"/>
    <w:rsid w:val="00720495"/>
    <w:rsid w:val="007275DF"/>
    <w:rsid w:val="007313BC"/>
    <w:rsid w:val="0073191D"/>
    <w:rsid w:val="00732220"/>
    <w:rsid w:val="00732EBB"/>
    <w:rsid w:val="00734C7E"/>
    <w:rsid w:val="00735862"/>
    <w:rsid w:val="007458C0"/>
    <w:rsid w:val="00747B69"/>
    <w:rsid w:val="00753BF1"/>
    <w:rsid w:val="00753EF1"/>
    <w:rsid w:val="007556E3"/>
    <w:rsid w:val="007576A3"/>
    <w:rsid w:val="007608CF"/>
    <w:rsid w:val="00760CDB"/>
    <w:rsid w:val="00761787"/>
    <w:rsid w:val="00762CC6"/>
    <w:rsid w:val="00765EFC"/>
    <w:rsid w:val="00767634"/>
    <w:rsid w:val="0078245C"/>
    <w:rsid w:val="00785740"/>
    <w:rsid w:val="007862E0"/>
    <w:rsid w:val="0078632B"/>
    <w:rsid w:val="0079049E"/>
    <w:rsid w:val="00796013"/>
    <w:rsid w:val="00797F34"/>
    <w:rsid w:val="007A0A74"/>
    <w:rsid w:val="007A3906"/>
    <w:rsid w:val="007A4DCA"/>
    <w:rsid w:val="007A5A55"/>
    <w:rsid w:val="007A7017"/>
    <w:rsid w:val="007B36C4"/>
    <w:rsid w:val="007C3902"/>
    <w:rsid w:val="007C659E"/>
    <w:rsid w:val="007D5AA2"/>
    <w:rsid w:val="007E0809"/>
    <w:rsid w:val="007E0ECE"/>
    <w:rsid w:val="007E23A9"/>
    <w:rsid w:val="007E3E59"/>
    <w:rsid w:val="007E6D3C"/>
    <w:rsid w:val="007F12E4"/>
    <w:rsid w:val="007F33A7"/>
    <w:rsid w:val="007F33DE"/>
    <w:rsid w:val="007F40F6"/>
    <w:rsid w:val="007F4FC5"/>
    <w:rsid w:val="007F50B8"/>
    <w:rsid w:val="007F6920"/>
    <w:rsid w:val="007F79EB"/>
    <w:rsid w:val="00806909"/>
    <w:rsid w:val="00806F0F"/>
    <w:rsid w:val="00806F5F"/>
    <w:rsid w:val="00816BF1"/>
    <w:rsid w:val="00817DC5"/>
    <w:rsid w:val="00820BD9"/>
    <w:rsid w:val="0082492A"/>
    <w:rsid w:val="0082683A"/>
    <w:rsid w:val="00831C8D"/>
    <w:rsid w:val="00833E4B"/>
    <w:rsid w:val="008408FD"/>
    <w:rsid w:val="008413FB"/>
    <w:rsid w:val="00841F06"/>
    <w:rsid w:val="00842F95"/>
    <w:rsid w:val="00845047"/>
    <w:rsid w:val="00845A2F"/>
    <w:rsid w:val="00846DA4"/>
    <w:rsid w:val="008500B7"/>
    <w:rsid w:val="00860959"/>
    <w:rsid w:val="0086155A"/>
    <w:rsid w:val="0086208E"/>
    <w:rsid w:val="00867680"/>
    <w:rsid w:val="008707E3"/>
    <w:rsid w:val="008713B1"/>
    <w:rsid w:val="00874DC7"/>
    <w:rsid w:val="008774CC"/>
    <w:rsid w:val="00880019"/>
    <w:rsid w:val="00881009"/>
    <w:rsid w:val="00882112"/>
    <w:rsid w:val="00895112"/>
    <w:rsid w:val="00895E20"/>
    <w:rsid w:val="00896E79"/>
    <w:rsid w:val="008A33B7"/>
    <w:rsid w:val="008A5DAF"/>
    <w:rsid w:val="008A7B2B"/>
    <w:rsid w:val="008B1CDB"/>
    <w:rsid w:val="008B3024"/>
    <w:rsid w:val="008B4923"/>
    <w:rsid w:val="008B54DF"/>
    <w:rsid w:val="008B663B"/>
    <w:rsid w:val="008B6D77"/>
    <w:rsid w:val="008B7904"/>
    <w:rsid w:val="008C415E"/>
    <w:rsid w:val="008C71D6"/>
    <w:rsid w:val="008C754E"/>
    <w:rsid w:val="008C7DC7"/>
    <w:rsid w:val="008D0BDA"/>
    <w:rsid w:val="008D1CC2"/>
    <w:rsid w:val="008D1D9D"/>
    <w:rsid w:val="008D4C70"/>
    <w:rsid w:val="008E1128"/>
    <w:rsid w:val="008E11F7"/>
    <w:rsid w:val="008E76A8"/>
    <w:rsid w:val="008F54BE"/>
    <w:rsid w:val="008F56A9"/>
    <w:rsid w:val="008F6360"/>
    <w:rsid w:val="008F7577"/>
    <w:rsid w:val="0091264D"/>
    <w:rsid w:val="00913AF3"/>
    <w:rsid w:val="00924980"/>
    <w:rsid w:val="00925CCF"/>
    <w:rsid w:val="00932DDF"/>
    <w:rsid w:val="00934FA6"/>
    <w:rsid w:val="009357A0"/>
    <w:rsid w:val="00935DD1"/>
    <w:rsid w:val="00937DEA"/>
    <w:rsid w:val="009438A6"/>
    <w:rsid w:val="0095183A"/>
    <w:rsid w:val="00952C6B"/>
    <w:rsid w:val="00955D49"/>
    <w:rsid w:val="0095603D"/>
    <w:rsid w:val="00957B8B"/>
    <w:rsid w:val="00961005"/>
    <w:rsid w:val="00962CB1"/>
    <w:rsid w:val="009659F2"/>
    <w:rsid w:val="0097131C"/>
    <w:rsid w:val="00971502"/>
    <w:rsid w:val="00972A47"/>
    <w:rsid w:val="009747A7"/>
    <w:rsid w:val="00974F9F"/>
    <w:rsid w:val="00975580"/>
    <w:rsid w:val="00982ABC"/>
    <w:rsid w:val="0098536E"/>
    <w:rsid w:val="00991BEA"/>
    <w:rsid w:val="0099591F"/>
    <w:rsid w:val="009A19EE"/>
    <w:rsid w:val="009A1E9A"/>
    <w:rsid w:val="009A4B15"/>
    <w:rsid w:val="009A6353"/>
    <w:rsid w:val="009B0027"/>
    <w:rsid w:val="009B0ABF"/>
    <w:rsid w:val="009B19DD"/>
    <w:rsid w:val="009B53A8"/>
    <w:rsid w:val="009B5834"/>
    <w:rsid w:val="009B642F"/>
    <w:rsid w:val="009B64A9"/>
    <w:rsid w:val="009C2D85"/>
    <w:rsid w:val="009C4213"/>
    <w:rsid w:val="009C71CE"/>
    <w:rsid w:val="009D245B"/>
    <w:rsid w:val="009D2DC3"/>
    <w:rsid w:val="009D3425"/>
    <w:rsid w:val="009D7683"/>
    <w:rsid w:val="009E28D0"/>
    <w:rsid w:val="009E4C5B"/>
    <w:rsid w:val="009E51F4"/>
    <w:rsid w:val="009F1260"/>
    <w:rsid w:val="009F1BC8"/>
    <w:rsid w:val="00A017D5"/>
    <w:rsid w:val="00A02866"/>
    <w:rsid w:val="00A04418"/>
    <w:rsid w:val="00A044FC"/>
    <w:rsid w:val="00A104EC"/>
    <w:rsid w:val="00A1303E"/>
    <w:rsid w:val="00A269FB"/>
    <w:rsid w:val="00A31993"/>
    <w:rsid w:val="00A437F9"/>
    <w:rsid w:val="00A46AB4"/>
    <w:rsid w:val="00A50087"/>
    <w:rsid w:val="00A504F8"/>
    <w:rsid w:val="00A50DB8"/>
    <w:rsid w:val="00A63E21"/>
    <w:rsid w:val="00A64087"/>
    <w:rsid w:val="00A660C6"/>
    <w:rsid w:val="00A73160"/>
    <w:rsid w:val="00A7468D"/>
    <w:rsid w:val="00A827F9"/>
    <w:rsid w:val="00A846AC"/>
    <w:rsid w:val="00A8765A"/>
    <w:rsid w:val="00A94E5C"/>
    <w:rsid w:val="00A97948"/>
    <w:rsid w:val="00AA1F42"/>
    <w:rsid w:val="00AA3E79"/>
    <w:rsid w:val="00AA46F2"/>
    <w:rsid w:val="00AB1F34"/>
    <w:rsid w:val="00AB3301"/>
    <w:rsid w:val="00AB5316"/>
    <w:rsid w:val="00AB5710"/>
    <w:rsid w:val="00AC0427"/>
    <w:rsid w:val="00AC1CC4"/>
    <w:rsid w:val="00AC2D6F"/>
    <w:rsid w:val="00AC5419"/>
    <w:rsid w:val="00AD0B78"/>
    <w:rsid w:val="00AE00E3"/>
    <w:rsid w:val="00AE3E3B"/>
    <w:rsid w:val="00AE74B1"/>
    <w:rsid w:val="00AF0148"/>
    <w:rsid w:val="00AF1DF5"/>
    <w:rsid w:val="00B12660"/>
    <w:rsid w:val="00B13E47"/>
    <w:rsid w:val="00B304CD"/>
    <w:rsid w:val="00B346A1"/>
    <w:rsid w:val="00B35DBF"/>
    <w:rsid w:val="00B37478"/>
    <w:rsid w:val="00B44470"/>
    <w:rsid w:val="00B537EE"/>
    <w:rsid w:val="00B61C4C"/>
    <w:rsid w:val="00B62F9B"/>
    <w:rsid w:val="00B639AE"/>
    <w:rsid w:val="00B67431"/>
    <w:rsid w:val="00B73471"/>
    <w:rsid w:val="00B73BD1"/>
    <w:rsid w:val="00B7701B"/>
    <w:rsid w:val="00B810DE"/>
    <w:rsid w:val="00B843E0"/>
    <w:rsid w:val="00B93953"/>
    <w:rsid w:val="00B9500B"/>
    <w:rsid w:val="00B956D8"/>
    <w:rsid w:val="00B96A69"/>
    <w:rsid w:val="00B9720A"/>
    <w:rsid w:val="00B97C3E"/>
    <w:rsid w:val="00B97FF7"/>
    <w:rsid w:val="00BA2610"/>
    <w:rsid w:val="00BB26AB"/>
    <w:rsid w:val="00BB3D0F"/>
    <w:rsid w:val="00BB4CE4"/>
    <w:rsid w:val="00BD2006"/>
    <w:rsid w:val="00BD27A6"/>
    <w:rsid w:val="00BD6FF7"/>
    <w:rsid w:val="00BE00C5"/>
    <w:rsid w:val="00BE0920"/>
    <w:rsid w:val="00BE621B"/>
    <w:rsid w:val="00BE6406"/>
    <w:rsid w:val="00BE6886"/>
    <w:rsid w:val="00BF14CE"/>
    <w:rsid w:val="00BF4E2D"/>
    <w:rsid w:val="00C02577"/>
    <w:rsid w:val="00C03D2C"/>
    <w:rsid w:val="00C11FE6"/>
    <w:rsid w:val="00C152C6"/>
    <w:rsid w:val="00C166B0"/>
    <w:rsid w:val="00C24211"/>
    <w:rsid w:val="00C2698E"/>
    <w:rsid w:val="00C30987"/>
    <w:rsid w:val="00C37636"/>
    <w:rsid w:val="00C41D92"/>
    <w:rsid w:val="00C42105"/>
    <w:rsid w:val="00C44CBF"/>
    <w:rsid w:val="00C52A03"/>
    <w:rsid w:val="00C55F17"/>
    <w:rsid w:val="00C61AF1"/>
    <w:rsid w:val="00C627FB"/>
    <w:rsid w:val="00C70FAD"/>
    <w:rsid w:val="00C76A97"/>
    <w:rsid w:val="00C81988"/>
    <w:rsid w:val="00C86661"/>
    <w:rsid w:val="00C95F7D"/>
    <w:rsid w:val="00CA0851"/>
    <w:rsid w:val="00CA1546"/>
    <w:rsid w:val="00CA2072"/>
    <w:rsid w:val="00CA6429"/>
    <w:rsid w:val="00CB05C5"/>
    <w:rsid w:val="00CC5DA9"/>
    <w:rsid w:val="00CC7B88"/>
    <w:rsid w:val="00CD0434"/>
    <w:rsid w:val="00CD26E9"/>
    <w:rsid w:val="00CD4E3F"/>
    <w:rsid w:val="00CD5531"/>
    <w:rsid w:val="00CD5F8D"/>
    <w:rsid w:val="00CE301F"/>
    <w:rsid w:val="00CE4C4B"/>
    <w:rsid w:val="00CE7107"/>
    <w:rsid w:val="00CF0F23"/>
    <w:rsid w:val="00CF10C9"/>
    <w:rsid w:val="00CF552F"/>
    <w:rsid w:val="00D0087B"/>
    <w:rsid w:val="00D025AF"/>
    <w:rsid w:val="00D068C3"/>
    <w:rsid w:val="00D108F0"/>
    <w:rsid w:val="00D1140C"/>
    <w:rsid w:val="00D114F3"/>
    <w:rsid w:val="00D17AAB"/>
    <w:rsid w:val="00D203E7"/>
    <w:rsid w:val="00D2670F"/>
    <w:rsid w:val="00D40E8E"/>
    <w:rsid w:val="00D46EDF"/>
    <w:rsid w:val="00D47DA5"/>
    <w:rsid w:val="00D53B44"/>
    <w:rsid w:val="00D54E51"/>
    <w:rsid w:val="00D61976"/>
    <w:rsid w:val="00D638E6"/>
    <w:rsid w:val="00D65D9C"/>
    <w:rsid w:val="00D73E9F"/>
    <w:rsid w:val="00D80B19"/>
    <w:rsid w:val="00D8104F"/>
    <w:rsid w:val="00D8598D"/>
    <w:rsid w:val="00D92EC8"/>
    <w:rsid w:val="00D93246"/>
    <w:rsid w:val="00D944BA"/>
    <w:rsid w:val="00D96BD0"/>
    <w:rsid w:val="00DA491F"/>
    <w:rsid w:val="00DA6876"/>
    <w:rsid w:val="00DA69AF"/>
    <w:rsid w:val="00DA7DD7"/>
    <w:rsid w:val="00DB176F"/>
    <w:rsid w:val="00DB2CD6"/>
    <w:rsid w:val="00DB725B"/>
    <w:rsid w:val="00DB789D"/>
    <w:rsid w:val="00DC0F0B"/>
    <w:rsid w:val="00DC16F6"/>
    <w:rsid w:val="00DC47D7"/>
    <w:rsid w:val="00DC70E7"/>
    <w:rsid w:val="00DD1A28"/>
    <w:rsid w:val="00DD5B62"/>
    <w:rsid w:val="00DE1C88"/>
    <w:rsid w:val="00DE35D1"/>
    <w:rsid w:val="00DE48E7"/>
    <w:rsid w:val="00DE740A"/>
    <w:rsid w:val="00DF1C88"/>
    <w:rsid w:val="00DF20F7"/>
    <w:rsid w:val="00DF4428"/>
    <w:rsid w:val="00DF4518"/>
    <w:rsid w:val="00DF50BE"/>
    <w:rsid w:val="00DF6174"/>
    <w:rsid w:val="00E01F5C"/>
    <w:rsid w:val="00E03771"/>
    <w:rsid w:val="00E0474C"/>
    <w:rsid w:val="00E072B7"/>
    <w:rsid w:val="00E14C81"/>
    <w:rsid w:val="00E251E6"/>
    <w:rsid w:val="00E27521"/>
    <w:rsid w:val="00E338B1"/>
    <w:rsid w:val="00E33A2B"/>
    <w:rsid w:val="00E36B25"/>
    <w:rsid w:val="00E37D9A"/>
    <w:rsid w:val="00E41AE9"/>
    <w:rsid w:val="00E42B1E"/>
    <w:rsid w:val="00E43F6A"/>
    <w:rsid w:val="00E4423F"/>
    <w:rsid w:val="00E444AF"/>
    <w:rsid w:val="00E448B5"/>
    <w:rsid w:val="00E46CC3"/>
    <w:rsid w:val="00E62319"/>
    <w:rsid w:val="00E6487D"/>
    <w:rsid w:val="00E66218"/>
    <w:rsid w:val="00E702C4"/>
    <w:rsid w:val="00E72FC9"/>
    <w:rsid w:val="00E7521A"/>
    <w:rsid w:val="00E8452A"/>
    <w:rsid w:val="00E865C2"/>
    <w:rsid w:val="00E928F9"/>
    <w:rsid w:val="00EA3039"/>
    <w:rsid w:val="00EA6202"/>
    <w:rsid w:val="00EA6475"/>
    <w:rsid w:val="00EB1350"/>
    <w:rsid w:val="00EB58F6"/>
    <w:rsid w:val="00EB7BAC"/>
    <w:rsid w:val="00EC3C9A"/>
    <w:rsid w:val="00EC48A1"/>
    <w:rsid w:val="00EC5361"/>
    <w:rsid w:val="00EC5420"/>
    <w:rsid w:val="00ED2C30"/>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5274"/>
    <w:rsid w:val="00F30D97"/>
    <w:rsid w:val="00F3296B"/>
    <w:rsid w:val="00F3759E"/>
    <w:rsid w:val="00F37714"/>
    <w:rsid w:val="00F43F0D"/>
    <w:rsid w:val="00F51DE2"/>
    <w:rsid w:val="00F51F76"/>
    <w:rsid w:val="00F529AA"/>
    <w:rsid w:val="00F53EC3"/>
    <w:rsid w:val="00F54FEA"/>
    <w:rsid w:val="00F554E8"/>
    <w:rsid w:val="00F575AD"/>
    <w:rsid w:val="00F60F20"/>
    <w:rsid w:val="00F63D15"/>
    <w:rsid w:val="00F665AB"/>
    <w:rsid w:val="00F75558"/>
    <w:rsid w:val="00F75C54"/>
    <w:rsid w:val="00F764EC"/>
    <w:rsid w:val="00F8063A"/>
    <w:rsid w:val="00F82986"/>
    <w:rsid w:val="00F83661"/>
    <w:rsid w:val="00F87C56"/>
    <w:rsid w:val="00F93739"/>
    <w:rsid w:val="00F9728D"/>
    <w:rsid w:val="00FA6990"/>
    <w:rsid w:val="00FB1AFB"/>
    <w:rsid w:val="00FB2C1B"/>
    <w:rsid w:val="00FB481D"/>
    <w:rsid w:val="00FB49DD"/>
    <w:rsid w:val="00FC2951"/>
    <w:rsid w:val="00FC3570"/>
    <w:rsid w:val="00FC6E2A"/>
    <w:rsid w:val="00FE01D9"/>
    <w:rsid w:val="00FE5808"/>
    <w:rsid w:val="00FE699B"/>
    <w:rsid w:val="00FF44DD"/>
    <w:rsid w:val="00FF5FC8"/>
    <w:rsid w:val="00FF7504"/>
    <w:rsid w:val="01543698"/>
    <w:rsid w:val="01716B58"/>
    <w:rsid w:val="01C521B3"/>
    <w:rsid w:val="02290C40"/>
    <w:rsid w:val="022D440E"/>
    <w:rsid w:val="027E74A7"/>
    <w:rsid w:val="028546EB"/>
    <w:rsid w:val="04C70B93"/>
    <w:rsid w:val="04D510D5"/>
    <w:rsid w:val="05244E7C"/>
    <w:rsid w:val="05675B81"/>
    <w:rsid w:val="05945F5E"/>
    <w:rsid w:val="05BF54E7"/>
    <w:rsid w:val="062444CC"/>
    <w:rsid w:val="068C54B9"/>
    <w:rsid w:val="07634BF4"/>
    <w:rsid w:val="07C70DC4"/>
    <w:rsid w:val="09302B22"/>
    <w:rsid w:val="093A12E4"/>
    <w:rsid w:val="098B21D8"/>
    <w:rsid w:val="09EF7ED0"/>
    <w:rsid w:val="0A3A6A1B"/>
    <w:rsid w:val="0AAE012D"/>
    <w:rsid w:val="0ADA18CC"/>
    <w:rsid w:val="0B003157"/>
    <w:rsid w:val="0BB914B6"/>
    <w:rsid w:val="0BD7795F"/>
    <w:rsid w:val="0C667EA6"/>
    <w:rsid w:val="0D062084"/>
    <w:rsid w:val="0EAE44D0"/>
    <w:rsid w:val="11072A94"/>
    <w:rsid w:val="123419D2"/>
    <w:rsid w:val="13032411"/>
    <w:rsid w:val="13846168"/>
    <w:rsid w:val="13FC1FA7"/>
    <w:rsid w:val="143F7E4F"/>
    <w:rsid w:val="14A44FB8"/>
    <w:rsid w:val="156D4658"/>
    <w:rsid w:val="161679A7"/>
    <w:rsid w:val="169828CD"/>
    <w:rsid w:val="1707435F"/>
    <w:rsid w:val="18C13618"/>
    <w:rsid w:val="19F1668A"/>
    <w:rsid w:val="1C02130A"/>
    <w:rsid w:val="1CAC2742"/>
    <w:rsid w:val="1CB810E7"/>
    <w:rsid w:val="1DCD6AB3"/>
    <w:rsid w:val="1E0F2B51"/>
    <w:rsid w:val="1E311151"/>
    <w:rsid w:val="1E376FDF"/>
    <w:rsid w:val="1FFA69B8"/>
    <w:rsid w:val="209D31DB"/>
    <w:rsid w:val="20EE6564"/>
    <w:rsid w:val="219A5FA9"/>
    <w:rsid w:val="23E0478E"/>
    <w:rsid w:val="24790305"/>
    <w:rsid w:val="24C43A2C"/>
    <w:rsid w:val="25813496"/>
    <w:rsid w:val="268259AE"/>
    <w:rsid w:val="26C52111"/>
    <w:rsid w:val="26E85EC8"/>
    <w:rsid w:val="26EA0A6E"/>
    <w:rsid w:val="26FE030A"/>
    <w:rsid w:val="27615607"/>
    <w:rsid w:val="27D668C5"/>
    <w:rsid w:val="27E76110"/>
    <w:rsid w:val="28246ECE"/>
    <w:rsid w:val="29012D28"/>
    <w:rsid w:val="2AB9711D"/>
    <w:rsid w:val="2B2937A5"/>
    <w:rsid w:val="2C08611E"/>
    <w:rsid w:val="2CF7573E"/>
    <w:rsid w:val="2D925870"/>
    <w:rsid w:val="2DEF26D6"/>
    <w:rsid w:val="2DFC06D1"/>
    <w:rsid w:val="310A7126"/>
    <w:rsid w:val="32C335B1"/>
    <w:rsid w:val="3332229A"/>
    <w:rsid w:val="334127DE"/>
    <w:rsid w:val="34CB024D"/>
    <w:rsid w:val="34DB551B"/>
    <w:rsid w:val="35217EF9"/>
    <w:rsid w:val="35235397"/>
    <w:rsid w:val="355D0B43"/>
    <w:rsid w:val="35FA38AD"/>
    <w:rsid w:val="367810B3"/>
    <w:rsid w:val="37221E07"/>
    <w:rsid w:val="37E94405"/>
    <w:rsid w:val="390414E4"/>
    <w:rsid w:val="391D43D1"/>
    <w:rsid w:val="3A714E4B"/>
    <w:rsid w:val="3AC32048"/>
    <w:rsid w:val="3ADA04DA"/>
    <w:rsid w:val="3AF24716"/>
    <w:rsid w:val="3B24224C"/>
    <w:rsid w:val="3B466628"/>
    <w:rsid w:val="3BED2703"/>
    <w:rsid w:val="3C7936F3"/>
    <w:rsid w:val="3D00619F"/>
    <w:rsid w:val="3D460945"/>
    <w:rsid w:val="3F7B0218"/>
    <w:rsid w:val="408D131E"/>
    <w:rsid w:val="40D03ED8"/>
    <w:rsid w:val="410F047F"/>
    <w:rsid w:val="416F4571"/>
    <w:rsid w:val="41A63A30"/>
    <w:rsid w:val="41DB4140"/>
    <w:rsid w:val="429107C7"/>
    <w:rsid w:val="42A95791"/>
    <w:rsid w:val="42ED13C2"/>
    <w:rsid w:val="44891D0D"/>
    <w:rsid w:val="44B73D07"/>
    <w:rsid w:val="452D76AA"/>
    <w:rsid w:val="46145D49"/>
    <w:rsid w:val="468A6CBC"/>
    <w:rsid w:val="48FC1291"/>
    <w:rsid w:val="4C310D9C"/>
    <w:rsid w:val="4CF25CB3"/>
    <w:rsid w:val="4E071BA4"/>
    <w:rsid w:val="4E112440"/>
    <w:rsid w:val="4E2D31EF"/>
    <w:rsid w:val="4E985EB2"/>
    <w:rsid w:val="4FC058C6"/>
    <w:rsid w:val="51033196"/>
    <w:rsid w:val="510C5E54"/>
    <w:rsid w:val="51575697"/>
    <w:rsid w:val="51FB2757"/>
    <w:rsid w:val="52216A9B"/>
    <w:rsid w:val="52427E13"/>
    <w:rsid w:val="52AA7C27"/>
    <w:rsid w:val="52DA0CA4"/>
    <w:rsid w:val="52EF13E6"/>
    <w:rsid w:val="536966BB"/>
    <w:rsid w:val="546C4689"/>
    <w:rsid w:val="547418E3"/>
    <w:rsid w:val="54BA568B"/>
    <w:rsid w:val="54C26BFC"/>
    <w:rsid w:val="557266CE"/>
    <w:rsid w:val="561A7EC6"/>
    <w:rsid w:val="572946A1"/>
    <w:rsid w:val="572959A2"/>
    <w:rsid w:val="57CA5ED2"/>
    <w:rsid w:val="57CC2E4A"/>
    <w:rsid w:val="57E71486"/>
    <w:rsid w:val="59561FE0"/>
    <w:rsid w:val="59943EF2"/>
    <w:rsid w:val="5A1C03AD"/>
    <w:rsid w:val="5ADE61AD"/>
    <w:rsid w:val="5B7976B8"/>
    <w:rsid w:val="5B9A25B0"/>
    <w:rsid w:val="5BCE0BDB"/>
    <w:rsid w:val="5C82428E"/>
    <w:rsid w:val="5C827377"/>
    <w:rsid w:val="5C930B9D"/>
    <w:rsid w:val="5D463571"/>
    <w:rsid w:val="5D936DD3"/>
    <w:rsid w:val="5E5A674B"/>
    <w:rsid w:val="5F251B4F"/>
    <w:rsid w:val="5F916509"/>
    <w:rsid w:val="60952107"/>
    <w:rsid w:val="60E44589"/>
    <w:rsid w:val="614B680F"/>
    <w:rsid w:val="62B343FC"/>
    <w:rsid w:val="635A7DCF"/>
    <w:rsid w:val="6477675E"/>
    <w:rsid w:val="64D62D2E"/>
    <w:rsid w:val="6581630D"/>
    <w:rsid w:val="663C4348"/>
    <w:rsid w:val="66BE0674"/>
    <w:rsid w:val="66C467C4"/>
    <w:rsid w:val="670C7632"/>
    <w:rsid w:val="6790376D"/>
    <w:rsid w:val="68053023"/>
    <w:rsid w:val="69370CF2"/>
    <w:rsid w:val="695D4175"/>
    <w:rsid w:val="6A072A7D"/>
    <w:rsid w:val="6B24299C"/>
    <w:rsid w:val="6BAE0CB8"/>
    <w:rsid w:val="6BCA7704"/>
    <w:rsid w:val="6C0677CC"/>
    <w:rsid w:val="6C2F5391"/>
    <w:rsid w:val="6DB0087C"/>
    <w:rsid w:val="6E5019D7"/>
    <w:rsid w:val="6E71237D"/>
    <w:rsid w:val="6FB94521"/>
    <w:rsid w:val="711B778E"/>
    <w:rsid w:val="71B143BB"/>
    <w:rsid w:val="723C5848"/>
    <w:rsid w:val="7322493E"/>
    <w:rsid w:val="73FA3EA6"/>
    <w:rsid w:val="75180085"/>
    <w:rsid w:val="76371E5E"/>
    <w:rsid w:val="77361B13"/>
    <w:rsid w:val="790A232E"/>
    <w:rsid w:val="794719E5"/>
    <w:rsid w:val="7A5837C2"/>
    <w:rsid w:val="7A81476E"/>
    <w:rsid w:val="7D6C7C31"/>
    <w:rsid w:val="7D6F2271"/>
    <w:rsid w:val="7DAB50A0"/>
    <w:rsid w:val="7EAA76FA"/>
    <w:rsid w:val="7EAB5A90"/>
    <w:rsid w:val="7F0832B6"/>
    <w:rsid w:val="7F686F78"/>
    <w:rsid w:val="7F693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仿宋" w:hAnsi="仿宋" w:eastAsia="仿宋"/>
      <w:sz w:val="28"/>
      <w:szCs w:val="28"/>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autoRedefine/>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autoRedefine/>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autoRedefine/>
    <w:qFormat/>
    <w:uiPriority w:val="0"/>
    <w:rPr>
      <w:rFonts w:ascii="仿宋" w:hAnsi="仿宋" w:eastAsia="仿宋"/>
      <w:kern w:val="1"/>
    </w:rPr>
  </w:style>
  <w:style w:type="character" w:customStyle="1" w:styleId="44">
    <w:name w:val="纯文本 Char1"/>
    <w:link w:val="16"/>
    <w:autoRedefine/>
    <w:qFormat/>
    <w:locked/>
    <w:uiPriority w:val="0"/>
    <w:rPr>
      <w:rFonts w:ascii="仿宋" w:hAnsi="仿宋" w:eastAsia="仿宋"/>
      <w:kern w:val="2"/>
      <w:sz w:val="28"/>
      <w:szCs w:val="28"/>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autoRedefine/>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autoRedefine/>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autoRedefine/>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宋体" w:hAnsi="宋体" w:cs="宋体"/>
      <w:sz w:val="24"/>
      <w:szCs w:val="24"/>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font21"/>
    <w:basedOn w:val="30"/>
    <w:autoRedefine/>
    <w:qFormat/>
    <w:uiPriority w:val="0"/>
    <w:rPr>
      <w:rFonts w:hint="eastAsia" w:ascii="宋体" w:hAnsi="宋体" w:eastAsia="宋体" w:cs="宋体"/>
      <w:color w:val="000000"/>
      <w:sz w:val="18"/>
      <w:szCs w:val="18"/>
      <w:u w:val="none"/>
    </w:rPr>
  </w:style>
  <w:style w:type="table" w:customStyle="1" w:styleId="16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3F7C-7263-4898-8123-09E68359D71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10</Pages>
  <Words>11620</Words>
  <Characters>12339</Characters>
  <Lines>109</Lines>
  <Paragraphs>30</Paragraphs>
  <TotalTime>11</TotalTime>
  <ScaleCrop>false</ScaleCrop>
  <LinksUpToDate>false</LinksUpToDate>
  <CharactersWithSpaces>13325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2023-08-30T06:33:00Z</dcterms:created>
  <dc:creator>市政务服务办</dc:creator>
  <cp:lastModifiedBy>Administrator</cp:lastModifiedBy>
  <cp:lastPrinted>2025-01-02T01:28:00Z</cp:lastPrinted>
  <dcterms:modified xsi:type="dcterms:W3CDTF">2025-05-27T00:13:09Z</dcterms:modified>
  <dc:subject>青岛市政府采购采购文件范本</dc:subject>
  <dc:title>青岛市政府采购采购文件范本</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48AC9C416E5743568F7C620748F6F4AE_13</vt:lpwstr>
  </property>
  <property fmtid="{D5CDD505-2E9C-101B-9397-08002B2CF9AE}" pid="4" name="KSOTemplateDocerSaveRecord">
    <vt:lpwstr>eyJoZGlkIjoiMWYxYTdhZTcyYjMyZTdhYzVkYzFmZDE0YjY3NWZjODEifQ==</vt:lpwstr>
  </property>
</Properties>
</file>