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1CF6D">
      <w:pPr>
        <w:spacing w:afterLines="100" w:line="360" w:lineRule="auto"/>
        <w:jc w:val="center"/>
        <w:outlineLvl w:val="1"/>
        <w:rPr>
          <w:rFonts w:ascii="仿宋" w:hAnsi="仿宋" w:eastAsia="仿宋"/>
          <w:b/>
          <w:sz w:val="28"/>
          <w:szCs w:val="28"/>
          <w:highlight w:val="none"/>
        </w:rPr>
      </w:pPr>
      <w:bookmarkStart w:id="0" w:name="_Toc17090"/>
      <w:r>
        <w:rPr>
          <w:rFonts w:hint="eastAsia" w:ascii="仿宋" w:hAnsi="仿宋" w:eastAsia="仿宋"/>
          <w:b/>
          <w:sz w:val="28"/>
          <w:szCs w:val="28"/>
          <w:highlight w:val="none"/>
        </w:rPr>
        <w:t xml:space="preserve">  招标公告</w:t>
      </w:r>
      <w:bookmarkEnd w:id="0"/>
    </w:p>
    <w:p w14:paraId="428C4616">
      <w:pPr>
        <w:spacing w:line="560" w:lineRule="exact"/>
        <w:ind w:firstLine="480" w:firstLineChars="200"/>
        <w:rPr>
          <w:rFonts w:ascii="仿宋" w:hAnsi="仿宋" w:eastAsia="仿宋"/>
          <w:bCs/>
          <w:sz w:val="24"/>
          <w:szCs w:val="24"/>
          <w:highlight w:val="none"/>
        </w:rPr>
      </w:pPr>
      <w:r>
        <w:rPr>
          <w:rFonts w:hint="eastAsia" w:ascii="仿宋" w:hAnsi="仿宋" w:eastAsia="仿宋"/>
          <w:sz w:val="24"/>
          <w:szCs w:val="24"/>
          <w:highlight w:val="none"/>
        </w:rPr>
        <w:t>我公司现对河套街道西部组团四期工程（山角07）电力配套工程（电缆桥架安装施工）进行招标，欢迎符合条件的投标人参加，具体要求如下：</w:t>
      </w:r>
    </w:p>
    <w:p w14:paraId="580B67AE">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1.项目名称：河套街道西部组团四期工程（山角07）电力配套工程（电缆桥架安装施工）</w:t>
      </w:r>
    </w:p>
    <w:p w14:paraId="3F2A4EBE">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2.项目地点：青岛</w:t>
      </w:r>
      <w:r>
        <w:rPr>
          <w:rFonts w:hint="eastAsia" w:ascii="仿宋" w:hAnsi="仿宋" w:eastAsia="仿宋"/>
          <w:sz w:val="24"/>
          <w:szCs w:val="24"/>
          <w:highlight w:val="none"/>
          <w:lang w:eastAsia="zh-CN"/>
        </w:rPr>
        <w:t>市</w:t>
      </w:r>
      <w:r>
        <w:rPr>
          <w:rFonts w:hint="eastAsia" w:ascii="仿宋" w:hAnsi="仿宋" w:eastAsia="仿宋"/>
          <w:sz w:val="24"/>
          <w:szCs w:val="24"/>
          <w:highlight w:val="none"/>
        </w:rPr>
        <w:t>。</w:t>
      </w:r>
    </w:p>
    <w:p w14:paraId="50174065">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3.服务内容：电缆桥架安装施工（详见工程量清单）</w:t>
      </w:r>
    </w:p>
    <w:p w14:paraId="3C139E3F">
      <w:pPr>
        <w:tabs>
          <w:tab w:val="left" w:pos="6379"/>
        </w:tabs>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4.招标控制价（含税价</w:t>
      </w:r>
      <w:r>
        <w:rPr>
          <w:rFonts w:hint="eastAsia" w:ascii="仿宋" w:hAnsi="仿宋" w:eastAsia="仿宋"/>
          <w:sz w:val="24"/>
          <w:szCs w:val="24"/>
          <w:highlight w:val="none"/>
          <w:lang w:eastAsia="zh-CN"/>
        </w:rPr>
        <w:t>，</w:t>
      </w:r>
      <w:r>
        <w:rPr>
          <w:rFonts w:hint="eastAsia" w:ascii="仿宋" w:hAnsi="仿宋" w:eastAsia="仿宋"/>
          <w:sz w:val="24"/>
          <w:szCs w:val="24"/>
          <w:highlight w:val="none"/>
        </w:rPr>
        <w:t>增值税税率为</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%）：60105.05元。</w:t>
      </w:r>
    </w:p>
    <w:p w14:paraId="46B4F99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sz w:val="24"/>
          <w:szCs w:val="24"/>
          <w:highlight w:val="none"/>
        </w:rPr>
      </w:pPr>
      <w:r>
        <w:rPr>
          <w:rFonts w:hint="eastAsia" w:ascii="仿宋" w:hAnsi="仿宋" w:eastAsia="仿宋"/>
          <w:sz w:val="24"/>
          <w:szCs w:val="24"/>
          <w:highlight w:val="none"/>
        </w:rPr>
        <w:t>5.</w:t>
      </w:r>
      <w:r>
        <w:rPr>
          <w:rFonts w:hint="eastAsia" w:ascii="仿宋" w:hAnsi="仿宋" w:eastAsia="仿宋" w:cs="宋体"/>
          <w:bCs/>
          <w:sz w:val="24"/>
          <w:szCs w:val="24"/>
          <w:highlight w:val="none"/>
        </w:rPr>
        <w:t xml:space="preserve"> 投标人</w:t>
      </w:r>
      <w:r>
        <w:rPr>
          <w:rFonts w:hint="eastAsia" w:ascii="仿宋" w:hAnsi="仿宋" w:eastAsia="仿宋"/>
          <w:sz w:val="24"/>
          <w:szCs w:val="24"/>
          <w:highlight w:val="none"/>
        </w:rPr>
        <w:t>资格要求</w:t>
      </w:r>
    </w:p>
    <w:p w14:paraId="22BFCB6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4"/>
          <w:szCs w:val="24"/>
          <w:highlight w:val="none"/>
        </w:rPr>
      </w:pPr>
      <w:r>
        <w:rPr>
          <w:rFonts w:hint="eastAsia" w:ascii="仿宋" w:hAnsi="仿宋" w:eastAsia="仿宋"/>
          <w:sz w:val="24"/>
          <w:szCs w:val="24"/>
          <w:highlight w:val="none"/>
        </w:rPr>
        <w:t xml:space="preserve">    5.1供应商必须具有独立法人资格,各供应商不得有企业关联或股权关系。</w:t>
      </w:r>
    </w:p>
    <w:p w14:paraId="48D36B3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sz w:val="24"/>
          <w:szCs w:val="24"/>
          <w:highlight w:val="none"/>
        </w:rPr>
      </w:pPr>
      <w:r>
        <w:rPr>
          <w:rFonts w:hint="eastAsia" w:ascii="仿宋" w:hAnsi="仿宋" w:eastAsia="仿宋"/>
          <w:sz w:val="24"/>
          <w:szCs w:val="24"/>
          <w:highlight w:val="none"/>
        </w:rPr>
        <w:t>5.2供应商须具有建筑企业相关资质（劳务资质、输变电工程、电力工程施工总承包等），并具有有效期内的安全生产许可证。</w:t>
      </w:r>
    </w:p>
    <w:p w14:paraId="7F26746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Cs/>
          <w:sz w:val="24"/>
          <w:szCs w:val="24"/>
          <w:highlight w:val="none"/>
        </w:rPr>
      </w:pPr>
      <w:r>
        <w:rPr>
          <w:rFonts w:hint="eastAsia" w:ascii="仿宋" w:hAnsi="仿宋" w:eastAsia="仿宋"/>
          <w:sz w:val="24"/>
          <w:szCs w:val="24"/>
          <w:highlight w:val="none"/>
        </w:rPr>
        <w:t xml:space="preserve">    5.3采购公告发布之日前三年内无行贿犯罪等重大违法记录。</w:t>
      </w:r>
      <w:r>
        <w:rPr>
          <w:rFonts w:ascii="仿宋" w:hAnsi="仿宋" w:eastAsia="仿宋"/>
          <w:sz w:val="24"/>
          <w:szCs w:val="24"/>
          <w:highlight w:val="none"/>
        </w:rPr>
        <w:br w:type="textWrapping"/>
      </w:r>
      <w:bookmarkStart w:id="1" w:name="_Toc521332562"/>
      <w:r>
        <w:rPr>
          <w:rFonts w:hint="eastAsia" w:ascii="仿宋" w:hAnsi="仿宋" w:eastAsia="仿宋"/>
          <w:sz w:val="24"/>
          <w:szCs w:val="24"/>
          <w:highlight w:val="none"/>
        </w:rPr>
        <w:t xml:space="preserve">    5.4通过“信用中国”网</w:t>
      </w:r>
      <w:r>
        <w:rPr>
          <w:rFonts w:hint="eastAsia" w:ascii="仿宋" w:hAnsi="仿宋" w:eastAsia="仿宋" w:cs="宋体"/>
          <w:bCs/>
          <w:sz w:val="24"/>
          <w:szCs w:val="24"/>
          <w:highlight w:val="none"/>
        </w:rPr>
        <w:t>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566ED48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2C84D67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6.1截止时间：2025年</w:t>
      </w:r>
      <w:r>
        <w:rPr>
          <w:rFonts w:hint="eastAsia" w:ascii="仿宋" w:hAnsi="仿宋" w:eastAsia="仿宋"/>
          <w:szCs w:val="24"/>
          <w:highlight w:val="none"/>
          <w:lang w:val="en-US" w:eastAsia="zh-CN"/>
        </w:rPr>
        <w:t>8</w:t>
      </w:r>
      <w:r>
        <w:rPr>
          <w:rFonts w:hint="eastAsia" w:ascii="仿宋" w:hAnsi="仿宋" w:eastAsia="仿宋"/>
          <w:szCs w:val="24"/>
          <w:highlight w:val="none"/>
        </w:rPr>
        <w:t>月</w:t>
      </w:r>
      <w:r>
        <w:rPr>
          <w:rFonts w:hint="eastAsia" w:ascii="仿宋" w:hAnsi="仿宋" w:eastAsia="仿宋"/>
          <w:szCs w:val="24"/>
          <w:highlight w:val="none"/>
          <w:lang w:val="en-US" w:eastAsia="zh-CN"/>
        </w:rPr>
        <w:t>18</w:t>
      </w:r>
      <w:r>
        <w:rPr>
          <w:rFonts w:hint="eastAsia" w:ascii="仿宋" w:hAnsi="仿宋" w:eastAsia="仿宋"/>
          <w:szCs w:val="24"/>
          <w:highlight w:val="none"/>
        </w:rPr>
        <w:t>日</w:t>
      </w:r>
      <w:r>
        <w:rPr>
          <w:rFonts w:hint="eastAsia" w:ascii="仿宋" w:hAnsi="仿宋" w:eastAsia="仿宋"/>
          <w:szCs w:val="24"/>
          <w:highlight w:val="none"/>
          <w:lang w:val="en-US" w:eastAsia="zh-CN"/>
        </w:rPr>
        <w:t>15</w:t>
      </w:r>
      <w:r>
        <w:rPr>
          <w:rFonts w:hint="eastAsia" w:ascii="仿宋" w:hAnsi="仿宋" w:eastAsia="仿宋"/>
          <w:szCs w:val="24"/>
          <w:highlight w:val="none"/>
        </w:rPr>
        <w:t>时00分。</w:t>
      </w:r>
    </w:p>
    <w:p w14:paraId="3DF8826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6.2预审方式：投标人将资格审查所需材料生成一个</w:t>
      </w:r>
      <w:r>
        <w:rPr>
          <w:rFonts w:hint="eastAsia" w:ascii="仿宋" w:hAnsi="仿宋" w:eastAsia="仿宋"/>
          <w:b/>
          <w:bCs/>
          <w:szCs w:val="24"/>
          <w:highlight w:val="none"/>
        </w:rPr>
        <w:t>PDF</w:t>
      </w:r>
      <w:r>
        <w:rPr>
          <w:rFonts w:hint="eastAsia" w:ascii="仿宋" w:hAnsi="仿宋" w:eastAsia="仿宋"/>
          <w:szCs w:val="24"/>
          <w:highlight w:val="none"/>
        </w:rPr>
        <w:t>文档，在截止时间前发送至邮箱：gaoxinshuidian@163.com。邮件标题为</w:t>
      </w:r>
      <w:r>
        <w:rPr>
          <w:rFonts w:hint="eastAsia" w:ascii="仿宋" w:hAnsi="仿宋" w:eastAsia="仿宋"/>
          <w:b/>
          <w:bCs/>
          <w:szCs w:val="24"/>
          <w:highlight w:val="none"/>
        </w:rPr>
        <w:t>供应商名称+项目名称</w:t>
      </w:r>
      <w:r>
        <w:rPr>
          <w:rFonts w:hint="eastAsia" w:ascii="仿宋" w:hAnsi="仿宋" w:eastAsia="仿宋"/>
          <w:szCs w:val="24"/>
          <w:highlight w:val="none"/>
        </w:rPr>
        <w:t>，正文备注</w:t>
      </w:r>
      <w:r>
        <w:rPr>
          <w:rFonts w:hint="eastAsia" w:ascii="仿宋" w:hAnsi="仿宋" w:eastAsia="仿宋"/>
          <w:b/>
          <w:bCs/>
          <w:szCs w:val="24"/>
          <w:highlight w:val="none"/>
        </w:rPr>
        <w:t>联系人、联系方式、招标文件接收邮箱地址</w:t>
      </w:r>
      <w:r>
        <w:rPr>
          <w:rFonts w:hint="eastAsia" w:ascii="仿宋" w:hAnsi="仿宋" w:eastAsia="仿宋"/>
          <w:szCs w:val="24"/>
          <w:highlight w:val="none"/>
        </w:rPr>
        <w:t>。</w:t>
      </w:r>
      <w:r>
        <w:rPr>
          <w:rStyle w:val="47"/>
          <w:rFonts w:hint="eastAsia" w:ascii="仿宋" w:hAnsi="仿宋" w:eastAsia="仿宋" w:cs="仿宋"/>
          <w:sz w:val="24"/>
          <w:szCs w:val="24"/>
          <w:highlight w:val="none"/>
        </w:rPr>
        <w:t>由招标单位受理后，通过邮箱向投标人发放招标文件。</w:t>
      </w:r>
    </w:p>
    <w:p w14:paraId="72C5C1DE">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w:t>
      </w:r>
      <w:r>
        <w:rPr>
          <w:rFonts w:hint="eastAsia" w:ascii="仿宋" w:hAnsi="仿宋" w:eastAsia="仿宋"/>
          <w:sz w:val="24"/>
          <w:szCs w:val="24"/>
          <w:highlight w:val="none"/>
          <w:lang w:eastAsia="zh-CN"/>
        </w:rPr>
        <w:t>，</w:t>
      </w:r>
      <w:r>
        <w:rPr>
          <w:rFonts w:hint="eastAsia" w:ascii="仿宋" w:hAnsi="仿宋" w:eastAsia="仿宋"/>
          <w:szCs w:val="24"/>
          <w:highlight w:val="none"/>
        </w:rPr>
        <w:t>法定代表人身份证明，法定代表人授权委托书，</w:t>
      </w:r>
      <w:r>
        <w:rPr>
          <w:rFonts w:hint="eastAsia" w:ascii="仿宋" w:hAnsi="仿宋" w:eastAsia="仿宋"/>
          <w:sz w:val="24"/>
          <w:szCs w:val="24"/>
          <w:highlight w:val="none"/>
        </w:rPr>
        <w:t>企业相关资质（劳务资质、输变电工程、电力工程施工总承包等）</w:t>
      </w:r>
      <w:r>
        <w:rPr>
          <w:rFonts w:hint="eastAsia" w:ascii="仿宋" w:hAnsi="仿宋" w:eastAsia="仿宋"/>
          <w:sz w:val="24"/>
          <w:szCs w:val="24"/>
          <w:highlight w:val="none"/>
          <w:lang w:eastAsia="zh-CN"/>
        </w:rPr>
        <w:t>、</w:t>
      </w:r>
      <w:r>
        <w:rPr>
          <w:rFonts w:hint="eastAsia" w:ascii="仿宋" w:hAnsi="仿宋" w:eastAsia="仿宋"/>
          <w:sz w:val="24"/>
          <w:szCs w:val="24"/>
          <w:highlight w:val="none"/>
        </w:rPr>
        <w:t>有效期内的安全生产许可证</w:t>
      </w:r>
      <w:r>
        <w:rPr>
          <w:rFonts w:hint="eastAsia" w:ascii="仿宋" w:hAnsi="仿宋" w:eastAsia="仿宋"/>
          <w:sz w:val="24"/>
          <w:szCs w:val="24"/>
          <w:highlight w:val="none"/>
          <w:lang w:eastAsia="zh-CN"/>
        </w:rPr>
        <w:t>、</w:t>
      </w:r>
      <w:r>
        <w:rPr>
          <w:rFonts w:hint="eastAsia" w:ascii="仿宋" w:hAnsi="仿宋" w:eastAsia="仿宋"/>
          <w:szCs w:val="24"/>
          <w:highlight w:val="none"/>
        </w:rPr>
        <w:t>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cs="宋体"/>
          <w:bCs/>
          <w:szCs w:val="24"/>
          <w:highlight w:val="none"/>
          <w:lang w:eastAsia="zh-CN"/>
        </w:rPr>
        <w:t>、</w:t>
      </w:r>
      <w:r>
        <w:rPr>
          <w:rFonts w:hint="eastAsia" w:ascii="仿宋" w:hAnsi="仿宋" w:eastAsia="仿宋" w:cs="Times New Roman"/>
          <w:szCs w:val="24"/>
          <w:highlight w:val="none"/>
          <w:lang w:val="en-US" w:eastAsia="zh-CN"/>
        </w:rPr>
        <w:t>在经营活动中无重大违法记录和行贿犯罪记录的承诺等资料，</w:t>
      </w:r>
      <w:r>
        <w:rPr>
          <w:rFonts w:hint="eastAsia" w:ascii="仿宋" w:hAnsi="仿宋" w:eastAsia="仿宋"/>
          <w:szCs w:val="24"/>
          <w:highlight w:val="none"/>
        </w:rPr>
        <w:t>以上材料均需加盖投标单位公章。</w:t>
      </w:r>
    </w:p>
    <w:p w14:paraId="26656A01">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0F0EDD7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7.1时间：2025年</w:t>
      </w:r>
      <w:r>
        <w:rPr>
          <w:rFonts w:hint="eastAsia" w:ascii="仿宋" w:hAnsi="仿宋" w:eastAsia="仿宋"/>
          <w:szCs w:val="24"/>
          <w:highlight w:val="none"/>
          <w:lang w:val="en-US" w:eastAsia="zh-CN"/>
        </w:rPr>
        <w:t>8</w:t>
      </w:r>
      <w:r>
        <w:rPr>
          <w:rFonts w:hint="eastAsia" w:ascii="仿宋" w:hAnsi="仿宋" w:eastAsia="仿宋"/>
          <w:szCs w:val="24"/>
          <w:highlight w:val="none"/>
        </w:rPr>
        <w:t>月</w:t>
      </w:r>
      <w:r>
        <w:rPr>
          <w:rFonts w:hint="eastAsia" w:ascii="仿宋" w:hAnsi="仿宋" w:eastAsia="仿宋"/>
          <w:szCs w:val="24"/>
          <w:highlight w:val="none"/>
          <w:lang w:val="en-US" w:eastAsia="zh-CN"/>
        </w:rPr>
        <w:t>21</w:t>
      </w:r>
      <w:r>
        <w:rPr>
          <w:rFonts w:hint="eastAsia" w:ascii="仿宋" w:hAnsi="仿宋" w:eastAsia="仿宋"/>
          <w:szCs w:val="24"/>
          <w:highlight w:val="none"/>
        </w:rPr>
        <w:t>日9时00分至9时30分。</w:t>
      </w:r>
    </w:p>
    <w:p w14:paraId="189D2FA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5666A18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2641A05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8.1时间：2025年</w:t>
      </w:r>
      <w:r>
        <w:rPr>
          <w:rFonts w:hint="eastAsia" w:ascii="仿宋" w:hAnsi="仿宋" w:eastAsia="仿宋"/>
          <w:szCs w:val="24"/>
          <w:highlight w:val="none"/>
          <w:lang w:val="en-US" w:eastAsia="zh-CN"/>
        </w:rPr>
        <w:t>8</w:t>
      </w:r>
      <w:r>
        <w:rPr>
          <w:rFonts w:hint="eastAsia" w:ascii="仿宋" w:hAnsi="仿宋" w:eastAsia="仿宋"/>
          <w:szCs w:val="24"/>
          <w:highlight w:val="none"/>
        </w:rPr>
        <w:t>月</w:t>
      </w:r>
      <w:r>
        <w:rPr>
          <w:rFonts w:hint="eastAsia" w:ascii="仿宋" w:hAnsi="仿宋" w:eastAsia="仿宋"/>
          <w:szCs w:val="24"/>
          <w:highlight w:val="none"/>
          <w:lang w:val="en-US" w:eastAsia="zh-CN"/>
        </w:rPr>
        <w:t>21</w:t>
      </w:r>
      <w:r>
        <w:rPr>
          <w:rFonts w:hint="eastAsia" w:ascii="仿宋" w:hAnsi="仿宋" w:eastAsia="仿宋"/>
          <w:szCs w:val="24"/>
          <w:highlight w:val="none"/>
        </w:rPr>
        <w:t>日9时30分。</w:t>
      </w:r>
    </w:p>
    <w:p w14:paraId="12D23F2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8.2地点：青岛市高新区聚贤桥路50号高实集团</w:t>
      </w:r>
      <w:r>
        <w:rPr>
          <w:rFonts w:hint="eastAsia" w:ascii="仿宋" w:hAnsi="仿宋" w:eastAsia="仿宋"/>
          <w:szCs w:val="24"/>
          <w:highlight w:val="none"/>
          <w:lang w:val="en-US" w:eastAsia="zh-CN"/>
        </w:rPr>
        <w:t>10</w:t>
      </w:r>
      <w:r>
        <w:rPr>
          <w:rFonts w:hint="eastAsia" w:ascii="仿宋" w:hAnsi="仿宋" w:eastAsia="仿宋"/>
          <w:szCs w:val="24"/>
          <w:highlight w:val="none"/>
        </w:rPr>
        <w:t>楼</w:t>
      </w:r>
      <w:r>
        <w:rPr>
          <w:rFonts w:hint="eastAsia" w:ascii="仿宋" w:hAnsi="仿宋" w:eastAsia="仿宋"/>
          <w:szCs w:val="24"/>
          <w:highlight w:val="none"/>
          <w:lang w:val="en-US" w:eastAsia="zh-CN"/>
        </w:rPr>
        <w:t>1017</w:t>
      </w:r>
      <w:r>
        <w:rPr>
          <w:rFonts w:hint="eastAsia" w:ascii="仿宋" w:hAnsi="仿宋" w:eastAsia="仿宋"/>
          <w:szCs w:val="24"/>
          <w:highlight w:val="none"/>
        </w:rPr>
        <w:t>会议室。</w:t>
      </w:r>
    </w:p>
    <w:p w14:paraId="65DD211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6614289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4F9E407C">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0A7A113D">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4A3FBA19">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址：青岛市高新区聚贤桥路50号高实集团10楼。</w:t>
      </w:r>
    </w:p>
    <w:p w14:paraId="734A7644">
      <w:pPr>
        <w:pStyle w:val="16"/>
        <w:spacing w:line="560" w:lineRule="exact"/>
        <w:rPr>
          <w:rFonts w:ascii="仿宋" w:hAnsi="仿宋" w:eastAsia="仿宋"/>
          <w:szCs w:val="24"/>
          <w:highlight w:val="none"/>
        </w:rPr>
      </w:pPr>
    </w:p>
    <w:p w14:paraId="46777D34">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2025年</w:t>
      </w:r>
      <w:r>
        <w:rPr>
          <w:rFonts w:hint="eastAsia" w:ascii="仿宋" w:hAnsi="仿宋" w:eastAsia="仿宋"/>
          <w:szCs w:val="24"/>
          <w:highlight w:val="none"/>
          <w:lang w:val="en-US" w:eastAsia="zh-CN"/>
        </w:rPr>
        <w:t>8</w:t>
      </w:r>
      <w:r>
        <w:rPr>
          <w:rFonts w:hint="eastAsia" w:ascii="仿宋" w:hAnsi="仿宋" w:eastAsia="仿宋"/>
          <w:szCs w:val="24"/>
          <w:highlight w:val="none"/>
        </w:rPr>
        <w:t>月</w:t>
      </w:r>
      <w:r>
        <w:rPr>
          <w:rFonts w:hint="eastAsia" w:ascii="仿宋" w:hAnsi="仿宋" w:eastAsia="仿宋"/>
          <w:szCs w:val="24"/>
          <w:highlight w:val="none"/>
          <w:lang w:val="en-US" w:eastAsia="zh-CN"/>
        </w:rPr>
        <w:t>15</w:t>
      </w:r>
      <w:r>
        <w:rPr>
          <w:rFonts w:hint="eastAsia" w:ascii="仿宋" w:hAnsi="仿宋" w:eastAsia="仿宋"/>
          <w:szCs w:val="24"/>
          <w:highlight w:val="none"/>
        </w:rPr>
        <w:t>日</w:t>
      </w:r>
    </w:p>
    <w:p w14:paraId="55B83D9E">
      <w:pPr>
        <w:spacing w:afterLines="50" w:line="360" w:lineRule="auto"/>
        <w:jc w:val="center"/>
        <w:outlineLvl w:val="1"/>
        <w:rPr>
          <w:rFonts w:ascii="仿宋" w:hAnsi="仿宋" w:eastAsia="仿宋"/>
          <w:b/>
          <w:sz w:val="28"/>
          <w:szCs w:val="28"/>
          <w:highlight w:val="none"/>
        </w:rPr>
      </w:pPr>
      <w:r>
        <w:rPr>
          <w:rFonts w:ascii="仿宋" w:hAnsi="仿宋" w:eastAsia="仿宋"/>
          <w:b/>
          <w:sz w:val="28"/>
          <w:szCs w:val="28"/>
          <w:highlight w:val="none"/>
        </w:rPr>
        <w:br w:type="page"/>
      </w:r>
      <w:bookmarkStart w:id="2" w:name="_Toc5414"/>
      <w:r>
        <w:rPr>
          <w:rFonts w:hint="eastAsia" w:ascii="仿宋" w:hAnsi="仿宋" w:eastAsia="仿宋"/>
          <w:b/>
          <w:sz w:val="28"/>
          <w:szCs w:val="28"/>
          <w:highlight w:val="none"/>
        </w:rPr>
        <w:t xml:space="preserve">  招标需求</w:t>
      </w:r>
      <w:bookmarkEnd w:id="2"/>
    </w:p>
    <w:p w14:paraId="37E5688F">
      <w:pPr>
        <w:adjustRightInd/>
        <w:snapToGrid/>
        <w:spacing w:after="0"/>
        <w:rPr>
          <w:rFonts w:ascii="黑体" w:hAnsi="黑体" w:eastAsia="黑体" w:cs="宋体"/>
          <w:color w:val="000000"/>
          <w:sz w:val="32"/>
          <w:szCs w:val="32"/>
          <w:highlight w:val="none"/>
        </w:rPr>
      </w:pPr>
      <w:r>
        <w:rPr>
          <w:rFonts w:ascii="黑体" w:hAnsi="黑体" w:eastAsia="黑体" w:cs="宋体"/>
          <w:color w:val="000000"/>
          <w:sz w:val="32"/>
          <w:szCs w:val="32"/>
          <w:highlight w:val="none"/>
        </w:rPr>
        <w:t>一</w:t>
      </w:r>
      <w:r>
        <w:rPr>
          <w:rFonts w:hint="eastAsia" w:ascii="黑体" w:hAnsi="黑体" w:eastAsia="黑体" w:cs="宋体"/>
          <w:color w:val="000000"/>
          <w:sz w:val="32"/>
          <w:szCs w:val="32"/>
          <w:highlight w:val="none"/>
        </w:rPr>
        <w:t>、</w:t>
      </w:r>
      <w:r>
        <w:rPr>
          <w:rFonts w:ascii="黑体" w:hAnsi="黑体" w:eastAsia="黑体" w:cs="宋体"/>
          <w:color w:val="000000"/>
          <w:sz w:val="32"/>
          <w:szCs w:val="32"/>
          <w:highlight w:val="none"/>
        </w:rPr>
        <w:t>采购需求</w:t>
      </w:r>
    </w:p>
    <w:p w14:paraId="5A2240C6">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1.项目名称：河套街道西部组团四期工程（山角07）电力配套工程（电缆桥架安装施工）</w:t>
      </w:r>
    </w:p>
    <w:p w14:paraId="000DAF78">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2.服务内容：电缆桥架安装施工（详见工程量清单）</w:t>
      </w:r>
    </w:p>
    <w:p w14:paraId="252B4CD8">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3.招标控制价：60105.05元（含税增值税税率3%）</w:t>
      </w:r>
    </w:p>
    <w:p w14:paraId="38878CE8">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4.投标人资格要求</w:t>
      </w:r>
    </w:p>
    <w:p w14:paraId="328C857C">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4.1供应商必须具有独立法人资格,各供应商不得有企业关联或股权关系。</w:t>
      </w:r>
    </w:p>
    <w:p w14:paraId="73DD129A">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4.2供应商须具有建筑企业相关资质（劳务资质、输变电工程、电力工程施工总承包等），并具有有效期内的安全生产许可证。</w:t>
      </w:r>
    </w:p>
    <w:p w14:paraId="107C4D37">
      <w:pPr>
        <w:adjustRightInd/>
        <w:snapToGrid/>
        <w:spacing w:after="0"/>
        <w:rPr>
          <w:rFonts w:hint="eastAsia" w:ascii="仿宋" w:hAnsi="仿宋" w:eastAsia="仿宋" w:cs="宋体"/>
          <w:color w:val="000000"/>
          <w:sz w:val="30"/>
          <w:szCs w:val="30"/>
          <w:highlight w:val="none"/>
        </w:rPr>
      </w:pPr>
      <w:r>
        <w:rPr>
          <w:rFonts w:hint="eastAsia" w:ascii="黑体" w:hAnsi="黑体" w:eastAsia="黑体" w:cs="宋体"/>
          <w:color w:val="000000"/>
          <w:sz w:val="32"/>
          <w:szCs w:val="32"/>
          <w:highlight w:val="none"/>
        </w:rPr>
        <w:t xml:space="preserve">二、工期要求 </w:t>
      </w:r>
    </w:p>
    <w:p w14:paraId="7AC68A71">
      <w:pPr>
        <w:adjustRightInd/>
        <w:snapToGrid/>
        <w:spacing w:after="0"/>
        <w:ind w:firstLine="600" w:firstLineChars="200"/>
        <w:rPr>
          <w:rFonts w:hint="eastAsia" w:ascii="仿宋" w:hAnsi="仿宋" w:eastAsia="仿宋" w:cs="宋体"/>
          <w:color w:val="000000"/>
          <w:sz w:val="30"/>
          <w:szCs w:val="30"/>
          <w:highlight w:val="none"/>
        </w:rPr>
      </w:pPr>
      <w:r>
        <w:rPr>
          <w:rFonts w:hint="eastAsia" w:ascii="仿宋" w:hAnsi="仿宋" w:eastAsia="仿宋" w:cs="宋体"/>
          <w:color w:val="000000"/>
          <w:sz w:val="30"/>
          <w:szCs w:val="30"/>
          <w:highlight w:val="none"/>
        </w:rPr>
        <w:t>自合同签订并接采购人进场通知之日起20天内完成,具体开工日期以甲方通知为准。除人力不可抗拒及不可预见的因素外，一律不得顺延。</w:t>
      </w:r>
    </w:p>
    <w:p w14:paraId="4D09615C">
      <w:pPr>
        <w:adjustRightInd/>
        <w:snapToGrid/>
        <w:spacing w:after="0"/>
        <w:jc w:val="left"/>
        <w:rPr>
          <w:rFonts w:ascii="宋体" w:hAnsi="宋体" w:eastAsia="宋体" w:cs="宋体"/>
          <w:sz w:val="24"/>
          <w:szCs w:val="24"/>
          <w:highlight w:val="none"/>
        </w:rPr>
      </w:pPr>
      <w:r>
        <w:rPr>
          <w:rFonts w:hint="eastAsia" w:ascii="黑体" w:hAnsi="黑体" w:eastAsia="黑体" w:cs="宋体"/>
          <w:color w:val="000000"/>
          <w:sz w:val="32"/>
          <w:szCs w:val="32"/>
          <w:highlight w:val="none"/>
        </w:rPr>
        <w:t xml:space="preserve">三、质量标准 </w:t>
      </w:r>
    </w:p>
    <w:p w14:paraId="04824B47">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1.本工程要求质量标准为:一次性验收合格。</w:t>
      </w:r>
    </w:p>
    <w:p w14:paraId="5875D8E1">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2.本工程按照国家现行工程验收规范、标准进行评定验收。</w:t>
      </w:r>
    </w:p>
    <w:p w14:paraId="17A4629D">
      <w:pPr>
        <w:adjustRightInd/>
        <w:snapToGrid/>
        <w:spacing w:after="0"/>
        <w:rPr>
          <w:highlight w:val="none"/>
        </w:rPr>
      </w:pPr>
      <w:r>
        <w:rPr>
          <w:rFonts w:hint="eastAsia" w:ascii="黑体" w:hAnsi="黑体" w:eastAsia="黑体" w:cs="宋体"/>
          <w:color w:val="000000"/>
          <w:sz w:val="32"/>
          <w:szCs w:val="32"/>
          <w:highlight w:val="none"/>
        </w:rPr>
        <w:t>四、</w:t>
      </w:r>
      <w:r>
        <w:rPr>
          <w:rFonts w:ascii="黑体" w:hAnsi="黑体" w:eastAsia="黑体" w:cs="宋体"/>
          <w:color w:val="000000"/>
          <w:sz w:val="32"/>
          <w:szCs w:val="32"/>
          <w:highlight w:val="none"/>
        </w:rPr>
        <w:t>技术标准和施工要求</w:t>
      </w:r>
      <w:r>
        <w:rPr>
          <w:highlight w:val="none"/>
        </w:rPr>
        <w:t xml:space="preserve"> </w:t>
      </w:r>
    </w:p>
    <w:p w14:paraId="3054F3F8">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1.</w:t>
      </w:r>
      <w:r>
        <w:rPr>
          <w:rFonts w:ascii="仿宋" w:hAnsi="仿宋" w:eastAsia="仿宋" w:cs="宋体"/>
          <w:color w:val="000000"/>
          <w:sz w:val="30"/>
          <w:szCs w:val="30"/>
          <w:highlight w:val="none"/>
        </w:rPr>
        <w:t>本工程应按国家、建设部、工程施工技术（验收）规程、规范标准施工。</w:t>
      </w:r>
    </w:p>
    <w:p w14:paraId="1A7E58B4">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2.</w:t>
      </w:r>
      <w:r>
        <w:rPr>
          <w:rFonts w:ascii="仿宋" w:hAnsi="仿宋" w:eastAsia="仿宋" w:cs="宋体"/>
          <w:color w:val="000000"/>
          <w:sz w:val="30"/>
          <w:szCs w:val="30"/>
          <w:highlight w:val="none"/>
        </w:rPr>
        <w:t xml:space="preserve">严格按照工程量清单及有关技术要求、文件、资料进行施工。 </w:t>
      </w:r>
    </w:p>
    <w:p w14:paraId="6A231483">
      <w:pPr>
        <w:adjustRightInd/>
        <w:snapToGrid/>
        <w:spacing w:after="0"/>
        <w:rPr>
          <w:rFonts w:ascii="仿宋" w:hAnsi="仿宋" w:eastAsia="黑体" w:cs="宋体"/>
          <w:color w:val="000000"/>
          <w:sz w:val="30"/>
          <w:szCs w:val="30"/>
          <w:highlight w:val="none"/>
        </w:rPr>
      </w:pPr>
      <w:r>
        <w:rPr>
          <w:rFonts w:hint="eastAsia" w:ascii="黑体" w:hAnsi="黑体" w:eastAsia="黑体" w:cs="宋体"/>
          <w:color w:val="000000"/>
          <w:sz w:val="32"/>
          <w:szCs w:val="32"/>
          <w:highlight w:val="none"/>
        </w:rPr>
        <w:t>五、质量保证期</w:t>
      </w:r>
    </w:p>
    <w:p w14:paraId="3595C3CC">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质保2年，自通过工程竣工验收、移交、送电之日起计算。</w:t>
      </w:r>
    </w:p>
    <w:p w14:paraId="560E2AA8">
      <w:pPr>
        <w:adjustRightInd/>
        <w:snapToGrid/>
        <w:spacing w:after="0"/>
        <w:rPr>
          <w:rFonts w:ascii="黑体" w:hAnsi="黑体" w:eastAsia="黑体" w:cs="宋体"/>
          <w:color w:val="000000"/>
          <w:sz w:val="32"/>
          <w:szCs w:val="32"/>
          <w:highlight w:val="none"/>
        </w:rPr>
      </w:pPr>
      <w:r>
        <w:rPr>
          <w:rFonts w:hint="eastAsia" w:ascii="黑体" w:hAnsi="黑体" w:eastAsia="黑体" w:cs="宋体"/>
          <w:color w:val="000000"/>
          <w:sz w:val="32"/>
          <w:szCs w:val="32"/>
          <w:highlight w:val="none"/>
        </w:rPr>
        <w:t>六、付款及结算方式</w:t>
      </w:r>
    </w:p>
    <w:p w14:paraId="347A7881">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1.固定单价，工程量按实结算。</w:t>
      </w:r>
    </w:p>
    <w:p w14:paraId="14EEECB4">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2.工程完工经甲方验收合格后，支付至合同总价的50%，付款前，乙方需向甲方开具付款等额增值税专用发票;正式送电并完成工程结算后，支付至结算价的97%，乙方需开具至结算审定值全额增值税专用发票，（税率3%，如遇税率调整，按照最新税率政策行)，留3%质保金待质保2年到期后无息支付。各阶段付款根据项目建设单位付款进度进行款项支付，建设单位进行工程款项支付后，我公司进行相应比例的款项支付。</w:t>
      </w:r>
    </w:p>
    <w:p w14:paraId="70984A45">
      <w:pPr>
        <w:adjustRightInd/>
        <w:snapToGrid/>
        <w:spacing w:after="0"/>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七、</w:t>
      </w:r>
      <w:r>
        <w:rPr>
          <w:rFonts w:hint="eastAsia" w:ascii="黑体" w:hAnsi="黑体" w:eastAsia="黑体" w:cs="Times New Roman"/>
          <w:color w:val="000000"/>
          <w:sz w:val="32"/>
          <w:szCs w:val="32"/>
          <w:highlight w:val="none"/>
        </w:rPr>
        <w:t>安全文明施工</w:t>
      </w:r>
    </w:p>
    <w:p w14:paraId="0F2AF829">
      <w:pPr>
        <w:adjustRightInd/>
        <w:snapToGrid/>
        <w:spacing w:after="0"/>
        <w:ind w:firstLine="600" w:firstLineChars="200"/>
        <w:rPr>
          <w:rFonts w:ascii="仿宋" w:hAnsi="仿宋" w:eastAsia="仿宋" w:cs="宋体"/>
          <w:color w:val="000000"/>
          <w:sz w:val="30"/>
          <w:szCs w:val="30"/>
          <w:highlight w:val="none"/>
        </w:rPr>
      </w:pPr>
      <w:r>
        <w:rPr>
          <w:rFonts w:hint="eastAsia" w:ascii="仿宋" w:hAnsi="仿宋" w:eastAsia="仿宋" w:cs="宋体"/>
          <w:color w:val="000000"/>
          <w:sz w:val="30"/>
          <w:szCs w:val="30"/>
          <w:highlight w:val="none"/>
        </w:rPr>
        <w:t>安全目标：杜绝死亡、重伤负伤事故。承包人在施工期间，应严格执行国家、山东省和青岛市有关建设工程安全、文明施工的规定。</w:t>
      </w:r>
    </w:p>
    <w:p w14:paraId="2F3CD657">
      <w:pPr>
        <w:adjustRightInd/>
        <w:snapToGrid/>
        <w:spacing w:after="0"/>
        <w:ind w:firstLine="640" w:firstLineChars="200"/>
        <w:rPr>
          <w:rFonts w:hint="eastAsia" w:ascii="黑体" w:hAnsi="黑体" w:eastAsia="黑体" w:cs="Times New Roman"/>
          <w:color w:val="000000"/>
          <w:sz w:val="32"/>
          <w:szCs w:val="32"/>
          <w:highlight w:val="none"/>
        </w:rPr>
      </w:pPr>
    </w:p>
    <w:p w14:paraId="035F1267">
      <w:pPr>
        <w:adjustRightInd/>
        <w:snapToGrid/>
        <w:spacing w:after="0"/>
        <w:ind w:firstLine="640" w:firstLineChars="200"/>
        <w:rPr>
          <w:rFonts w:hint="eastAsia" w:ascii="黑体" w:hAnsi="黑体" w:eastAsia="黑体" w:cs="Times New Roman"/>
          <w:color w:val="000000"/>
          <w:sz w:val="32"/>
          <w:szCs w:val="32"/>
          <w:highlight w:val="none"/>
        </w:rPr>
      </w:pPr>
    </w:p>
    <w:p w14:paraId="03844BA9">
      <w:pPr>
        <w:adjustRightInd/>
        <w:snapToGrid/>
        <w:spacing w:after="0"/>
        <w:ind w:firstLine="640" w:firstLineChars="200"/>
        <w:rPr>
          <w:rFonts w:hint="eastAsia" w:ascii="黑体" w:hAnsi="黑体" w:eastAsia="黑体" w:cs="Times New Roman"/>
          <w:color w:val="000000"/>
          <w:sz w:val="32"/>
          <w:szCs w:val="32"/>
        </w:rPr>
      </w:pPr>
    </w:p>
    <w:p w14:paraId="0CAA87FB">
      <w:pPr>
        <w:adjustRightInd/>
        <w:snapToGrid/>
        <w:spacing w:after="0"/>
        <w:ind w:firstLine="640" w:firstLineChars="200"/>
        <w:rPr>
          <w:rFonts w:hint="eastAsia" w:ascii="黑体" w:hAnsi="黑体" w:eastAsia="黑体" w:cs="Times New Roman"/>
          <w:color w:val="000000"/>
          <w:sz w:val="32"/>
          <w:szCs w:val="32"/>
        </w:rPr>
      </w:pPr>
    </w:p>
    <w:p w14:paraId="7C378771">
      <w:pPr>
        <w:adjustRightInd/>
        <w:snapToGrid/>
        <w:spacing w:after="0"/>
        <w:ind w:firstLine="640" w:firstLineChars="200"/>
        <w:rPr>
          <w:rFonts w:hint="eastAsia" w:ascii="黑体" w:hAnsi="黑体" w:eastAsia="黑体" w:cs="Times New Roman"/>
          <w:color w:val="000000"/>
          <w:sz w:val="32"/>
          <w:szCs w:val="32"/>
        </w:rPr>
      </w:pPr>
    </w:p>
    <w:p w14:paraId="342F1F5F">
      <w:pPr>
        <w:adjustRightInd/>
        <w:snapToGrid/>
        <w:spacing w:after="0"/>
        <w:ind w:firstLine="640" w:firstLineChars="200"/>
        <w:rPr>
          <w:rFonts w:hint="eastAsia" w:ascii="黑体" w:hAnsi="黑体" w:eastAsia="黑体" w:cs="Times New Roman"/>
          <w:color w:val="000000"/>
          <w:sz w:val="32"/>
          <w:szCs w:val="32"/>
        </w:rPr>
      </w:pPr>
    </w:p>
    <w:p w14:paraId="33F68291">
      <w:pPr>
        <w:adjustRightInd/>
        <w:snapToGrid/>
        <w:spacing w:after="0"/>
        <w:ind w:firstLine="640" w:firstLineChars="200"/>
        <w:rPr>
          <w:rFonts w:hint="eastAsia" w:ascii="黑体" w:hAnsi="黑体" w:eastAsia="黑体" w:cs="Times New Roman"/>
          <w:color w:val="000000"/>
          <w:sz w:val="32"/>
          <w:szCs w:val="32"/>
        </w:rPr>
      </w:pPr>
    </w:p>
    <w:p w14:paraId="186BB022">
      <w:pPr>
        <w:adjustRightInd/>
        <w:snapToGrid/>
        <w:spacing w:after="0"/>
        <w:ind w:firstLine="640" w:firstLineChars="200"/>
        <w:rPr>
          <w:rFonts w:hint="eastAsia" w:ascii="黑体" w:hAnsi="黑体" w:eastAsia="黑体" w:cs="Times New Roman"/>
          <w:color w:val="000000"/>
          <w:sz w:val="32"/>
          <w:szCs w:val="32"/>
        </w:rPr>
      </w:pPr>
    </w:p>
    <w:p w14:paraId="7D5864E3">
      <w:pPr>
        <w:adjustRightInd/>
        <w:snapToGrid/>
        <w:spacing w:after="0"/>
        <w:ind w:firstLine="640" w:firstLineChars="200"/>
        <w:rPr>
          <w:rFonts w:hint="eastAsia" w:ascii="黑体" w:hAnsi="黑体" w:eastAsia="黑体" w:cs="Times New Roman"/>
          <w:color w:val="000000"/>
          <w:sz w:val="32"/>
          <w:szCs w:val="32"/>
        </w:rPr>
      </w:pPr>
    </w:p>
    <w:p w14:paraId="75EF695B">
      <w:pPr>
        <w:adjustRightInd/>
        <w:snapToGrid/>
        <w:spacing w:after="0"/>
        <w:rPr>
          <w:rFonts w:ascii="黑体" w:hAnsi="黑体" w:eastAsia="黑体" w:cs="Times New Roman"/>
          <w:color w:val="000000"/>
          <w:sz w:val="32"/>
          <w:szCs w:val="32"/>
        </w:rPr>
      </w:pPr>
      <w:r>
        <w:rPr>
          <w:rFonts w:hint="eastAsia" w:ascii="黑体" w:hAnsi="黑体" w:eastAsia="黑体" w:cs="Times New Roman"/>
          <w:color w:val="000000"/>
          <w:sz w:val="32"/>
          <w:szCs w:val="32"/>
        </w:rPr>
        <w:t>八、</w:t>
      </w:r>
      <w:r>
        <w:rPr>
          <w:rFonts w:ascii="黑体" w:hAnsi="黑体" w:eastAsia="黑体" w:cs="Times New Roman"/>
          <w:color w:val="000000"/>
          <w:sz w:val="32"/>
          <w:szCs w:val="32"/>
        </w:rPr>
        <w:t>工程量清单</w:t>
      </w:r>
    </w:p>
    <w:tbl>
      <w:tblPr>
        <w:tblStyle w:val="27"/>
        <w:tblpPr w:leftFromText="180" w:rightFromText="180" w:vertAnchor="text" w:horzAnchor="page" w:tblpX="1401" w:tblpY="621"/>
        <w:tblOverlap w:val="never"/>
        <w:tblW w:w="5000" w:type="pct"/>
        <w:tblInd w:w="0" w:type="dxa"/>
        <w:tblLayout w:type="autofit"/>
        <w:tblCellMar>
          <w:top w:w="0" w:type="dxa"/>
          <w:left w:w="108" w:type="dxa"/>
          <w:bottom w:w="0" w:type="dxa"/>
          <w:right w:w="108" w:type="dxa"/>
        </w:tblCellMar>
      </w:tblPr>
      <w:tblGrid>
        <w:gridCol w:w="626"/>
        <w:gridCol w:w="3934"/>
        <w:gridCol w:w="763"/>
        <w:gridCol w:w="1120"/>
        <w:gridCol w:w="1363"/>
        <w:gridCol w:w="1480"/>
      </w:tblGrid>
      <w:tr w14:paraId="73F4282A">
        <w:tblPrEx>
          <w:tblCellMar>
            <w:top w:w="0" w:type="dxa"/>
            <w:left w:w="108" w:type="dxa"/>
            <w:bottom w:w="0" w:type="dxa"/>
            <w:right w:w="108" w:type="dxa"/>
          </w:tblCellMar>
        </w:tblPrEx>
        <w:trPr>
          <w:trHeight w:val="255" w:hRule="atLeast"/>
        </w:trPr>
        <w:tc>
          <w:tcPr>
            <w:tcW w:w="5000" w:type="pct"/>
            <w:gridSpan w:val="6"/>
            <w:tcBorders>
              <w:top w:val="nil"/>
              <w:left w:val="nil"/>
              <w:bottom w:val="single" w:color="auto" w:sz="4" w:space="0"/>
              <w:right w:val="nil"/>
            </w:tcBorders>
            <w:shd w:val="clear" w:color="auto" w:fill="auto"/>
            <w:vAlign w:val="center"/>
          </w:tcPr>
          <w:p w14:paraId="3258A16F">
            <w:pPr>
              <w:adjustRightInd/>
              <w:snapToGrid/>
              <w:spacing w:after="0"/>
              <w:rPr>
                <w:rFonts w:hint="eastAsia" w:ascii="仿宋" w:hAnsi="仿宋" w:eastAsia="仿宋" w:cs="仿宋"/>
                <w:sz w:val="24"/>
                <w:szCs w:val="24"/>
              </w:rPr>
            </w:pPr>
            <w:r>
              <w:rPr>
                <w:rFonts w:hint="eastAsia" w:ascii="仿宋" w:hAnsi="仿宋" w:eastAsia="仿宋" w:cs="仿宋"/>
                <w:sz w:val="24"/>
                <w:szCs w:val="24"/>
              </w:rPr>
              <w:t>工程名称:河套街道西部组团四期工程（山角07）电力配套工程（电缆桥架安装施工）</w:t>
            </w:r>
          </w:p>
        </w:tc>
      </w:tr>
      <w:tr w14:paraId="01050119">
        <w:tblPrEx>
          <w:tblCellMar>
            <w:top w:w="0" w:type="dxa"/>
            <w:left w:w="108" w:type="dxa"/>
            <w:bottom w:w="0" w:type="dxa"/>
            <w:right w:w="108" w:type="dxa"/>
          </w:tblCellMar>
        </w:tblPrEx>
        <w:trPr>
          <w:trHeight w:val="379" w:hRule="atLeast"/>
        </w:trPr>
        <w:tc>
          <w:tcPr>
            <w:tcW w:w="337" w:type="pct"/>
            <w:vMerge w:val="restart"/>
            <w:tcBorders>
              <w:top w:val="nil"/>
              <w:left w:val="single" w:color="auto" w:sz="4" w:space="0"/>
              <w:bottom w:val="single" w:color="auto" w:sz="4" w:space="0"/>
              <w:right w:val="single" w:color="auto" w:sz="4" w:space="0"/>
            </w:tcBorders>
            <w:shd w:val="clear" w:color="auto" w:fill="auto"/>
            <w:vAlign w:val="center"/>
          </w:tcPr>
          <w:p w14:paraId="545F26E7">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118" w:type="pct"/>
            <w:vMerge w:val="restart"/>
            <w:tcBorders>
              <w:top w:val="nil"/>
              <w:left w:val="single" w:color="auto" w:sz="4" w:space="0"/>
              <w:bottom w:val="single" w:color="auto" w:sz="4" w:space="0"/>
              <w:right w:val="single" w:color="auto" w:sz="4" w:space="0"/>
            </w:tcBorders>
            <w:shd w:val="clear" w:color="auto" w:fill="auto"/>
            <w:vAlign w:val="center"/>
          </w:tcPr>
          <w:p w14:paraId="0EA9C157">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项目名称</w:t>
            </w:r>
            <w:r>
              <w:rPr>
                <w:rFonts w:hint="eastAsia" w:ascii="仿宋" w:hAnsi="仿宋" w:eastAsia="仿宋" w:cs="仿宋"/>
                <w:b/>
                <w:bCs/>
                <w:sz w:val="24"/>
                <w:szCs w:val="24"/>
              </w:rPr>
              <w:br w:type="textWrapping"/>
            </w:r>
            <w:r>
              <w:rPr>
                <w:rFonts w:hint="eastAsia" w:ascii="仿宋" w:hAnsi="仿宋" w:eastAsia="仿宋" w:cs="仿宋"/>
                <w:b/>
                <w:bCs/>
                <w:sz w:val="24"/>
                <w:szCs w:val="24"/>
              </w:rPr>
              <w:t>项目特征</w:t>
            </w:r>
          </w:p>
        </w:tc>
        <w:tc>
          <w:tcPr>
            <w:tcW w:w="411" w:type="pct"/>
            <w:vMerge w:val="restart"/>
            <w:tcBorders>
              <w:top w:val="nil"/>
              <w:left w:val="single" w:color="auto" w:sz="4" w:space="0"/>
              <w:bottom w:val="single" w:color="auto" w:sz="4" w:space="0"/>
              <w:right w:val="single" w:color="auto" w:sz="4" w:space="0"/>
            </w:tcBorders>
            <w:shd w:val="clear" w:color="auto" w:fill="auto"/>
            <w:vAlign w:val="center"/>
          </w:tcPr>
          <w:p w14:paraId="0F1FC2EA">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计量</w:t>
            </w:r>
            <w:r>
              <w:rPr>
                <w:rFonts w:hint="eastAsia" w:ascii="仿宋" w:hAnsi="仿宋" w:eastAsia="仿宋" w:cs="仿宋"/>
                <w:b/>
                <w:bCs/>
                <w:sz w:val="24"/>
                <w:szCs w:val="24"/>
              </w:rPr>
              <w:br w:type="textWrapping"/>
            </w:r>
            <w:r>
              <w:rPr>
                <w:rFonts w:hint="eastAsia" w:ascii="仿宋" w:hAnsi="仿宋" w:eastAsia="仿宋" w:cs="仿宋"/>
                <w:b/>
                <w:bCs/>
                <w:sz w:val="24"/>
                <w:szCs w:val="24"/>
              </w:rPr>
              <w:t>单位</w:t>
            </w:r>
          </w:p>
        </w:tc>
        <w:tc>
          <w:tcPr>
            <w:tcW w:w="603" w:type="pct"/>
            <w:vMerge w:val="restart"/>
            <w:tcBorders>
              <w:top w:val="nil"/>
              <w:left w:val="single" w:color="auto" w:sz="4" w:space="0"/>
              <w:bottom w:val="single" w:color="auto" w:sz="4" w:space="0"/>
              <w:right w:val="single" w:color="auto" w:sz="4" w:space="0"/>
            </w:tcBorders>
            <w:shd w:val="clear" w:color="auto" w:fill="auto"/>
            <w:vAlign w:val="center"/>
          </w:tcPr>
          <w:p w14:paraId="766DD2C7">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工程量</w:t>
            </w:r>
          </w:p>
        </w:tc>
        <w:tc>
          <w:tcPr>
            <w:tcW w:w="1529" w:type="pct"/>
            <w:gridSpan w:val="2"/>
            <w:tcBorders>
              <w:top w:val="single" w:color="auto" w:sz="4" w:space="0"/>
              <w:left w:val="nil"/>
              <w:bottom w:val="single" w:color="auto" w:sz="4" w:space="0"/>
              <w:right w:val="single" w:color="000000" w:sz="4" w:space="0"/>
            </w:tcBorders>
            <w:shd w:val="clear" w:color="auto" w:fill="auto"/>
            <w:vAlign w:val="center"/>
          </w:tcPr>
          <w:p w14:paraId="3DE4886D">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含税金额（元）税率3%</w:t>
            </w:r>
          </w:p>
        </w:tc>
      </w:tr>
      <w:tr w14:paraId="295C119C">
        <w:tblPrEx>
          <w:tblCellMar>
            <w:top w:w="0" w:type="dxa"/>
            <w:left w:w="108" w:type="dxa"/>
            <w:bottom w:w="0" w:type="dxa"/>
            <w:right w:w="108" w:type="dxa"/>
          </w:tblCellMar>
        </w:tblPrEx>
        <w:trPr>
          <w:trHeight w:val="379" w:hRule="atLeast"/>
        </w:trPr>
        <w:tc>
          <w:tcPr>
            <w:tcW w:w="337" w:type="pct"/>
            <w:vMerge w:val="continue"/>
            <w:tcBorders>
              <w:top w:val="nil"/>
              <w:left w:val="single" w:color="auto" w:sz="4" w:space="0"/>
              <w:bottom w:val="single" w:color="auto" w:sz="4" w:space="0"/>
              <w:right w:val="single" w:color="auto" w:sz="4" w:space="0"/>
            </w:tcBorders>
            <w:vAlign w:val="center"/>
          </w:tcPr>
          <w:p w14:paraId="0BF2A8B2">
            <w:pPr>
              <w:adjustRightInd/>
              <w:snapToGrid/>
              <w:spacing w:after="0"/>
              <w:rPr>
                <w:rFonts w:hint="eastAsia" w:ascii="仿宋" w:hAnsi="仿宋" w:eastAsia="仿宋" w:cs="仿宋"/>
                <w:b/>
                <w:bCs/>
                <w:sz w:val="24"/>
                <w:szCs w:val="24"/>
              </w:rPr>
            </w:pPr>
          </w:p>
        </w:tc>
        <w:tc>
          <w:tcPr>
            <w:tcW w:w="2118" w:type="pct"/>
            <w:vMerge w:val="continue"/>
            <w:tcBorders>
              <w:top w:val="nil"/>
              <w:left w:val="single" w:color="auto" w:sz="4" w:space="0"/>
              <w:bottom w:val="single" w:color="auto" w:sz="4" w:space="0"/>
              <w:right w:val="single" w:color="auto" w:sz="4" w:space="0"/>
            </w:tcBorders>
            <w:vAlign w:val="center"/>
          </w:tcPr>
          <w:p w14:paraId="7F491CAC">
            <w:pPr>
              <w:adjustRightInd/>
              <w:snapToGrid/>
              <w:spacing w:after="0"/>
              <w:rPr>
                <w:rFonts w:hint="eastAsia" w:ascii="仿宋" w:hAnsi="仿宋" w:eastAsia="仿宋" w:cs="仿宋"/>
                <w:b/>
                <w:bCs/>
                <w:sz w:val="24"/>
                <w:szCs w:val="24"/>
              </w:rPr>
            </w:pPr>
          </w:p>
        </w:tc>
        <w:tc>
          <w:tcPr>
            <w:tcW w:w="411" w:type="pct"/>
            <w:vMerge w:val="continue"/>
            <w:tcBorders>
              <w:top w:val="nil"/>
              <w:left w:val="single" w:color="auto" w:sz="4" w:space="0"/>
              <w:bottom w:val="single" w:color="auto" w:sz="4" w:space="0"/>
              <w:right w:val="single" w:color="auto" w:sz="4" w:space="0"/>
            </w:tcBorders>
            <w:vAlign w:val="center"/>
          </w:tcPr>
          <w:p w14:paraId="39A10ABE">
            <w:pPr>
              <w:adjustRightInd/>
              <w:snapToGrid/>
              <w:spacing w:after="0"/>
              <w:rPr>
                <w:rFonts w:hint="eastAsia" w:ascii="仿宋" w:hAnsi="仿宋" w:eastAsia="仿宋" w:cs="仿宋"/>
                <w:b/>
                <w:bCs/>
                <w:sz w:val="24"/>
                <w:szCs w:val="24"/>
              </w:rPr>
            </w:pPr>
          </w:p>
        </w:tc>
        <w:tc>
          <w:tcPr>
            <w:tcW w:w="603" w:type="pct"/>
            <w:vMerge w:val="continue"/>
            <w:tcBorders>
              <w:top w:val="nil"/>
              <w:left w:val="single" w:color="auto" w:sz="4" w:space="0"/>
              <w:bottom w:val="single" w:color="auto" w:sz="4" w:space="0"/>
              <w:right w:val="single" w:color="auto" w:sz="4" w:space="0"/>
            </w:tcBorders>
            <w:vAlign w:val="center"/>
          </w:tcPr>
          <w:p w14:paraId="29312D8C">
            <w:pPr>
              <w:adjustRightInd/>
              <w:snapToGrid/>
              <w:spacing w:after="0"/>
              <w:rPr>
                <w:rFonts w:hint="eastAsia" w:ascii="仿宋" w:hAnsi="仿宋" w:eastAsia="仿宋" w:cs="仿宋"/>
                <w:b/>
                <w:bCs/>
                <w:sz w:val="24"/>
                <w:szCs w:val="24"/>
              </w:rPr>
            </w:pPr>
          </w:p>
        </w:tc>
        <w:tc>
          <w:tcPr>
            <w:tcW w:w="734" w:type="pct"/>
            <w:vMerge w:val="restart"/>
            <w:tcBorders>
              <w:top w:val="nil"/>
              <w:left w:val="single" w:color="auto" w:sz="4" w:space="0"/>
              <w:bottom w:val="single" w:color="000000" w:sz="4" w:space="0"/>
              <w:right w:val="single" w:color="auto" w:sz="4" w:space="0"/>
            </w:tcBorders>
            <w:shd w:val="clear" w:color="auto" w:fill="auto"/>
            <w:vAlign w:val="center"/>
          </w:tcPr>
          <w:p w14:paraId="3A1B2062">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控制单价</w:t>
            </w:r>
          </w:p>
        </w:tc>
        <w:tc>
          <w:tcPr>
            <w:tcW w:w="794" w:type="pct"/>
            <w:vMerge w:val="restart"/>
            <w:tcBorders>
              <w:top w:val="nil"/>
              <w:left w:val="single" w:color="auto" w:sz="4" w:space="0"/>
              <w:bottom w:val="single" w:color="000000" w:sz="4" w:space="0"/>
              <w:right w:val="single" w:color="auto" w:sz="4" w:space="0"/>
            </w:tcBorders>
            <w:shd w:val="clear" w:color="auto" w:fill="auto"/>
            <w:vAlign w:val="center"/>
          </w:tcPr>
          <w:p w14:paraId="030B370F">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控制价合计</w:t>
            </w:r>
          </w:p>
        </w:tc>
      </w:tr>
      <w:tr w14:paraId="5E8B5904">
        <w:tblPrEx>
          <w:tblCellMar>
            <w:top w:w="0" w:type="dxa"/>
            <w:left w:w="108" w:type="dxa"/>
            <w:bottom w:w="0" w:type="dxa"/>
            <w:right w:w="108" w:type="dxa"/>
          </w:tblCellMar>
        </w:tblPrEx>
        <w:trPr>
          <w:trHeight w:val="420" w:hRule="atLeast"/>
        </w:trPr>
        <w:tc>
          <w:tcPr>
            <w:tcW w:w="337" w:type="pct"/>
            <w:vMerge w:val="continue"/>
            <w:tcBorders>
              <w:top w:val="nil"/>
              <w:left w:val="single" w:color="auto" w:sz="4" w:space="0"/>
              <w:bottom w:val="single" w:color="auto" w:sz="4" w:space="0"/>
              <w:right w:val="single" w:color="auto" w:sz="4" w:space="0"/>
            </w:tcBorders>
            <w:vAlign w:val="center"/>
          </w:tcPr>
          <w:p w14:paraId="23E76634">
            <w:pPr>
              <w:adjustRightInd/>
              <w:snapToGrid/>
              <w:spacing w:after="0"/>
              <w:rPr>
                <w:rFonts w:hint="eastAsia" w:ascii="仿宋" w:hAnsi="仿宋" w:eastAsia="仿宋" w:cs="仿宋"/>
                <w:b/>
                <w:bCs/>
                <w:sz w:val="24"/>
                <w:szCs w:val="24"/>
              </w:rPr>
            </w:pPr>
          </w:p>
        </w:tc>
        <w:tc>
          <w:tcPr>
            <w:tcW w:w="2118" w:type="pct"/>
            <w:vMerge w:val="continue"/>
            <w:tcBorders>
              <w:top w:val="nil"/>
              <w:left w:val="single" w:color="auto" w:sz="4" w:space="0"/>
              <w:bottom w:val="single" w:color="auto" w:sz="4" w:space="0"/>
              <w:right w:val="single" w:color="auto" w:sz="4" w:space="0"/>
            </w:tcBorders>
            <w:vAlign w:val="center"/>
          </w:tcPr>
          <w:p w14:paraId="031E74FC">
            <w:pPr>
              <w:adjustRightInd/>
              <w:snapToGrid/>
              <w:spacing w:after="0"/>
              <w:rPr>
                <w:rFonts w:hint="eastAsia" w:ascii="仿宋" w:hAnsi="仿宋" w:eastAsia="仿宋" w:cs="仿宋"/>
                <w:b/>
                <w:bCs/>
                <w:sz w:val="24"/>
                <w:szCs w:val="24"/>
              </w:rPr>
            </w:pPr>
          </w:p>
        </w:tc>
        <w:tc>
          <w:tcPr>
            <w:tcW w:w="411" w:type="pct"/>
            <w:vMerge w:val="continue"/>
            <w:tcBorders>
              <w:top w:val="nil"/>
              <w:left w:val="single" w:color="auto" w:sz="4" w:space="0"/>
              <w:bottom w:val="single" w:color="auto" w:sz="4" w:space="0"/>
              <w:right w:val="single" w:color="auto" w:sz="4" w:space="0"/>
            </w:tcBorders>
            <w:vAlign w:val="center"/>
          </w:tcPr>
          <w:p w14:paraId="2E7E77A4">
            <w:pPr>
              <w:adjustRightInd/>
              <w:snapToGrid/>
              <w:spacing w:after="0"/>
              <w:rPr>
                <w:rFonts w:hint="eastAsia" w:ascii="仿宋" w:hAnsi="仿宋" w:eastAsia="仿宋" w:cs="仿宋"/>
                <w:b/>
                <w:bCs/>
                <w:sz w:val="24"/>
                <w:szCs w:val="24"/>
              </w:rPr>
            </w:pPr>
          </w:p>
        </w:tc>
        <w:tc>
          <w:tcPr>
            <w:tcW w:w="603" w:type="pct"/>
            <w:vMerge w:val="continue"/>
            <w:tcBorders>
              <w:top w:val="nil"/>
              <w:left w:val="single" w:color="auto" w:sz="4" w:space="0"/>
              <w:bottom w:val="single" w:color="auto" w:sz="4" w:space="0"/>
              <w:right w:val="single" w:color="auto" w:sz="4" w:space="0"/>
            </w:tcBorders>
            <w:vAlign w:val="center"/>
          </w:tcPr>
          <w:p w14:paraId="718B2743">
            <w:pPr>
              <w:adjustRightInd/>
              <w:snapToGrid/>
              <w:spacing w:after="0"/>
              <w:rPr>
                <w:rFonts w:hint="eastAsia" w:ascii="仿宋" w:hAnsi="仿宋" w:eastAsia="仿宋" w:cs="仿宋"/>
                <w:b/>
                <w:bCs/>
                <w:sz w:val="24"/>
                <w:szCs w:val="24"/>
              </w:rPr>
            </w:pPr>
          </w:p>
        </w:tc>
        <w:tc>
          <w:tcPr>
            <w:tcW w:w="734" w:type="pct"/>
            <w:vMerge w:val="continue"/>
            <w:tcBorders>
              <w:top w:val="nil"/>
              <w:left w:val="single" w:color="auto" w:sz="4" w:space="0"/>
              <w:bottom w:val="single" w:color="000000" w:sz="4" w:space="0"/>
              <w:right w:val="single" w:color="auto" w:sz="4" w:space="0"/>
            </w:tcBorders>
            <w:vAlign w:val="center"/>
          </w:tcPr>
          <w:p w14:paraId="0564E453">
            <w:pPr>
              <w:adjustRightInd/>
              <w:snapToGrid/>
              <w:spacing w:after="0"/>
              <w:rPr>
                <w:rFonts w:hint="eastAsia" w:ascii="仿宋" w:hAnsi="仿宋" w:eastAsia="仿宋" w:cs="仿宋"/>
                <w:b/>
                <w:bCs/>
                <w:sz w:val="24"/>
                <w:szCs w:val="24"/>
              </w:rPr>
            </w:pPr>
          </w:p>
        </w:tc>
        <w:tc>
          <w:tcPr>
            <w:tcW w:w="794" w:type="pct"/>
            <w:vMerge w:val="continue"/>
            <w:tcBorders>
              <w:top w:val="nil"/>
              <w:left w:val="single" w:color="auto" w:sz="4" w:space="0"/>
              <w:bottom w:val="single" w:color="000000" w:sz="4" w:space="0"/>
              <w:right w:val="single" w:color="auto" w:sz="4" w:space="0"/>
            </w:tcBorders>
            <w:vAlign w:val="center"/>
          </w:tcPr>
          <w:p w14:paraId="13B0F78A">
            <w:pPr>
              <w:adjustRightInd/>
              <w:snapToGrid/>
              <w:spacing w:after="0"/>
              <w:rPr>
                <w:rFonts w:hint="eastAsia" w:ascii="仿宋" w:hAnsi="仿宋" w:eastAsia="仿宋" w:cs="仿宋"/>
                <w:b/>
                <w:bCs/>
                <w:sz w:val="24"/>
                <w:szCs w:val="24"/>
              </w:rPr>
            </w:pPr>
          </w:p>
        </w:tc>
      </w:tr>
      <w:tr w14:paraId="139E3F59">
        <w:tblPrEx>
          <w:tblCellMar>
            <w:top w:w="0" w:type="dxa"/>
            <w:left w:w="108" w:type="dxa"/>
            <w:bottom w:w="0" w:type="dxa"/>
            <w:right w:w="108" w:type="dxa"/>
          </w:tblCellMar>
        </w:tblPrEx>
        <w:trPr>
          <w:trHeight w:val="420"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5124027C">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　</w:t>
            </w:r>
          </w:p>
        </w:tc>
        <w:tc>
          <w:tcPr>
            <w:tcW w:w="2118" w:type="pct"/>
            <w:tcBorders>
              <w:top w:val="nil"/>
              <w:left w:val="nil"/>
              <w:bottom w:val="single" w:color="auto" w:sz="4" w:space="0"/>
              <w:right w:val="single" w:color="auto" w:sz="4" w:space="0"/>
            </w:tcBorders>
            <w:shd w:val="clear" w:color="auto" w:fill="auto"/>
            <w:vAlign w:val="center"/>
          </w:tcPr>
          <w:p w14:paraId="675C92B2">
            <w:pPr>
              <w:adjustRightInd/>
              <w:snapToGrid/>
              <w:spacing w:after="0"/>
              <w:rPr>
                <w:rFonts w:hint="eastAsia" w:ascii="仿宋" w:hAnsi="仿宋" w:eastAsia="仿宋" w:cs="仿宋"/>
                <w:sz w:val="24"/>
                <w:szCs w:val="24"/>
              </w:rPr>
            </w:pPr>
            <w:r>
              <w:rPr>
                <w:rFonts w:hint="eastAsia" w:ascii="仿宋" w:hAnsi="仿宋" w:eastAsia="仿宋" w:cs="仿宋"/>
                <w:sz w:val="24"/>
                <w:szCs w:val="24"/>
              </w:rPr>
              <w:t>1#小区配电室</w:t>
            </w:r>
          </w:p>
        </w:tc>
        <w:tc>
          <w:tcPr>
            <w:tcW w:w="411" w:type="pct"/>
            <w:tcBorders>
              <w:top w:val="nil"/>
              <w:left w:val="nil"/>
              <w:bottom w:val="single" w:color="auto" w:sz="4" w:space="0"/>
              <w:right w:val="single" w:color="auto" w:sz="4" w:space="0"/>
            </w:tcBorders>
            <w:shd w:val="clear" w:color="auto" w:fill="auto"/>
            <w:vAlign w:val="center"/>
          </w:tcPr>
          <w:p w14:paraId="25B03DC3">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　</w:t>
            </w:r>
          </w:p>
        </w:tc>
        <w:tc>
          <w:tcPr>
            <w:tcW w:w="603" w:type="pct"/>
            <w:tcBorders>
              <w:top w:val="nil"/>
              <w:left w:val="nil"/>
              <w:bottom w:val="single" w:color="auto" w:sz="4" w:space="0"/>
              <w:right w:val="single" w:color="auto" w:sz="4" w:space="0"/>
            </w:tcBorders>
            <w:shd w:val="clear" w:color="auto" w:fill="auto"/>
            <w:vAlign w:val="center"/>
          </w:tcPr>
          <w:p w14:paraId="0449D51E">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　</w:t>
            </w:r>
          </w:p>
        </w:tc>
        <w:tc>
          <w:tcPr>
            <w:tcW w:w="734" w:type="pct"/>
            <w:tcBorders>
              <w:top w:val="nil"/>
              <w:left w:val="nil"/>
              <w:bottom w:val="single" w:color="auto" w:sz="4" w:space="0"/>
              <w:right w:val="single" w:color="auto" w:sz="4" w:space="0"/>
            </w:tcBorders>
            <w:shd w:val="clear" w:color="auto" w:fill="auto"/>
            <w:vAlign w:val="center"/>
          </w:tcPr>
          <w:p w14:paraId="6692588F">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　</w:t>
            </w:r>
          </w:p>
        </w:tc>
        <w:tc>
          <w:tcPr>
            <w:tcW w:w="794" w:type="pct"/>
            <w:tcBorders>
              <w:top w:val="nil"/>
              <w:left w:val="nil"/>
              <w:bottom w:val="single" w:color="auto" w:sz="4" w:space="0"/>
              <w:right w:val="single" w:color="auto" w:sz="4" w:space="0"/>
            </w:tcBorders>
            <w:shd w:val="clear" w:color="auto" w:fill="auto"/>
            <w:vAlign w:val="center"/>
          </w:tcPr>
          <w:p w14:paraId="45EE1328">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　</w:t>
            </w:r>
          </w:p>
        </w:tc>
      </w:tr>
      <w:tr w14:paraId="120EBBD9">
        <w:tblPrEx>
          <w:tblCellMar>
            <w:top w:w="0" w:type="dxa"/>
            <w:left w:w="108" w:type="dxa"/>
            <w:bottom w:w="0" w:type="dxa"/>
            <w:right w:w="108" w:type="dxa"/>
          </w:tblCellMar>
        </w:tblPrEx>
        <w:trPr>
          <w:trHeight w:val="1875"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01783965">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1</w:t>
            </w:r>
          </w:p>
        </w:tc>
        <w:tc>
          <w:tcPr>
            <w:tcW w:w="2118" w:type="pct"/>
            <w:tcBorders>
              <w:top w:val="nil"/>
              <w:left w:val="nil"/>
              <w:bottom w:val="single" w:color="auto" w:sz="4" w:space="0"/>
              <w:right w:val="single" w:color="auto" w:sz="4" w:space="0"/>
            </w:tcBorders>
            <w:shd w:val="clear" w:color="auto" w:fill="auto"/>
            <w:vAlign w:val="center"/>
          </w:tcPr>
          <w:p w14:paraId="398D0B2E">
            <w:pPr>
              <w:adjustRightInd/>
              <w:snapToGrid/>
              <w:spacing w:after="0"/>
              <w:rPr>
                <w:rFonts w:hint="eastAsia" w:ascii="仿宋" w:hAnsi="仿宋" w:eastAsia="仿宋" w:cs="仿宋"/>
                <w:sz w:val="24"/>
                <w:szCs w:val="24"/>
              </w:rPr>
            </w:pPr>
            <w:r>
              <w:rPr>
                <w:rFonts w:hint="eastAsia" w:ascii="仿宋" w:hAnsi="仿宋" w:eastAsia="仿宋" w:cs="仿宋"/>
                <w:sz w:val="24"/>
                <w:szCs w:val="24"/>
              </w:rPr>
              <w:t>桥架</w:t>
            </w:r>
            <w:r>
              <w:rPr>
                <w:rFonts w:hint="eastAsia" w:ascii="仿宋" w:hAnsi="仿宋" w:eastAsia="仿宋" w:cs="仿宋"/>
                <w:sz w:val="24"/>
                <w:szCs w:val="24"/>
              </w:rPr>
              <w:br w:type="textWrapping"/>
            </w:r>
            <w:r>
              <w:rPr>
                <w:rFonts w:hint="eastAsia" w:ascii="仿宋" w:hAnsi="仿宋" w:eastAsia="仿宋" w:cs="仿宋"/>
                <w:sz w:val="24"/>
                <w:szCs w:val="24"/>
              </w:rPr>
              <w:t>1.名称:10kV电缆桥架</w:t>
            </w:r>
            <w:r>
              <w:rPr>
                <w:rFonts w:hint="eastAsia" w:ascii="仿宋" w:hAnsi="仿宋" w:eastAsia="仿宋" w:cs="仿宋"/>
                <w:sz w:val="24"/>
                <w:szCs w:val="24"/>
              </w:rPr>
              <w:br w:type="textWrapping"/>
            </w:r>
            <w:r>
              <w:rPr>
                <w:rFonts w:hint="eastAsia" w:ascii="仿宋" w:hAnsi="仿宋" w:eastAsia="仿宋" w:cs="仿宋"/>
                <w:sz w:val="24"/>
                <w:szCs w:val="24"/>
              </w:rPr>
              <w:t>2.型号:按设计及施工规范</w:t>
            </w:r>
            <w:r>
              <w:rPr>
                <w:rFonts w:hint="eastAsia" w:ascii="仿宋" w:hAnsi="仿宋" w:eastAsia="仿宋" w:cs="仿宋"/>
                <w:sz w:val="24"/>
                <w:szCs w:val="24"/>
              </w:rPr>
              <w:br w:type="textWrapping"/>
            </w:r>
            <w:r>
              <w:rPr>
                <w:rFonts w:hint="eastAsia" w:ascii="仿宋" w:hAnsi="仿宋" w:eastAsia="仿宋" w:cs="仿宋"/>
                <w:sz w:val="24"/>
                <w:szCs w:val="24"/>
              </w:rPr>
              <w:t>3.规格:400*200</w:t>
            </w:r>
            <w:r>
              <w:rPr>
                <w:rFonts w:hint="eastAsia" w:ascii="仿宋" w:hAnsi="仿宋" w:eastAsia="仿宋" w:cs="仿宋"/>
                <w:sz w:val="24"/>
                <w:szCs w:val="24"/>
              </w:rPr>
              <w:br w:type="textWrapping"/>
            </w:r>
            <w:r>
              <w:rPr>
                <w:rFonts w:hint="eastAsia" w:ascii="仿宋" w:hAnsi="仿宋" w:eastAsia="仿宋" w:cs="仿宋"/>
                <w:sz w:val="24"/>
                <w:szCs w:val="24"/>
              </w:rPr>
              <w:t>4.材质:按设计及施工规范</w:t>
            </w:r>
            <w:r>
              <w:rPr>
                <w:rFonts w:hint="eastAsia" w:ascii="仿宋" w:hAnsi="仿宋" w:eastAsia="仿宋" w:cs="仿宋"/>
                <w:sz w:val="24"/>
                <w:szCs w:val="24"/>
              </w:rPr>
              <w:br w:type="textWrapping"/>
            </w:r>
            <w:r>
              <w:rPr>
                <w:rFonts w:hint="eastAsia" w:ascii="仿宋" w:hAnsi="仿宋" w:eastAsia="仿宋" w:cs="仿宋"/>
                <w:sz w:val="24"/>
                <w:szCs w:val="24"/>
              </w:rPr>
              <w:t>5.其他:材料采购、运输、保管，桥架及连接件安装、支吊架安装、接地线连接、防腐处理、防火封堵等</w:t>
            </w:r>
          </w:p>
        </w:tc>
        <w:tc>
          <w:tcPr>
            <w:tcW w:w="411" w:type="pct"/>
            <w:tcBorders>
              <w:top w:val="nil"/>
              <w:left w:val="nil"/>
              <w:bottom w:val="single" w:color="auto" w:sz="4" w:space="0"/>
              <w:right w:val="single" w:color="auto" w:sz="4" w:space="0"/>
            </w:tcBorders>
            <w:shd w:val="clear" w:color="auto" w:fill="auto"/>
            <w:vAlign w:val="center"/>
          </w:tcPr>
          <w:p w14:paraId="22770550">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m</w:t>
            </w:r>
          </w:p>
        </w:tc>
        <w:tc>
          <w:tcPr>
            <w:tcW w:w="603" w:type="pct"/>
            <w:tcBorders>
              <w:top w:val="nil"/>
              <w:left w:val="nil"/>
              <w:bottom w:val="single" w:color="auto" w:sz="4" w:space="0"/>
              <w:right w:val="single" w:color="auto" w:sz="4" w:space="0"/>
            </w:tcBorders>
            <w:shd w:val="clear" w:color="auto" w:fill="auto"/>
            <w:noWrap/>
            <w:vAlign w:val="center"/>
          </w:tcPr>
          <w:p w14:paraId="336F1ED9">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5.00</w:t>
            </w:r>
          </w:p>
        </w:tc>
        <w:tc>
          <w:tcPr>
            <w:tcW w:w="734" w:type="pct"/>
            <w:tcBorders>
              <w:top w:val="nil"/>
              <w:left w:val="nil"/>
              <w:bottom w:val="single" w:color="auto" w:sz="4" w:space="0"/>
              <w:right w:val="single" w:color="auto" w:sz="4" w:space="0"/>
            </w:tcBorders>
            <w:shd w:val="clear" w:color="auto" w:fill="auto"/>
            <w:vAlign w:val="center"/>
          </w:tcPr>
          <w:p w14:paraId="5E6472C3">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51.41 </w:t>
            </w:r>
          </w:p>
        </w:tc>
        <w:tc>
          <w:tcPr>
            <w:tcW w:w="794" w:type="pct"/>
            <w:tcBorders>
              <w:top w:val="nil"/>
              <w:left w:val="nil"/>
              <w:bottom w:val="single" w:color="auto" w:sz="4" w:space="0"/>
              <w:right w:val="single" w:color="auto" w:sz="4" w:space="0"/>
            </w:tcBorders>
            <w:shd w:val="clear" w:color="auto" w:fill="auto"/>
            <w:vAlign w:val="center"/>
          </w:tcPr>
          <w:p w14:paraId="4F4EC94A">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257.05 </w:t>
            </w:r>
          </w:p>
        </w:tc>
      </w:tr>
      <w:tr w14:paraId="29AF8067">
        <w:tblPrEx>
          <w:tblCellMar>
            <w:top w:w="0" w:type="dxa"/>
            <w:left w:w="108" w:type="dxa"/>
            <w:bottom w:w="0" w:type="dxa"/>
            <w:right w:w="108" w:type="dxa"/>
          </w:tblCellMar>
        </w:tblPrEx>
        <w:trPr>
          <w:trHeight w:val="1875"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6370A947">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2</w:t>
            </w:r>
          </w:p>
        </w:tc>
        <w:tc>
          <w:tcPr>
            <w:tcW w:w="2118" w:type="pct"/>
            <w:tcBorders>
              <w:top w:val="nil"/>
              <w:left w:val="nil"/>
              <w:bottom w:val="single" w:color="auto" w:sz="4" w:space="0"/>
              <w:right w:val="single" w:color="auto" w:sz="4" w:space="0"/>
            </w:tcBorders>
            <w:shd w:val="clear" w:color="auto" w:fill="auto"/>
            <w:vAlign w:val="center"/>
          </w:tcPr>
          <w:p w14:paraId="30F71A0C">
            <w:pPr>
              <w:adjustRightInd/>
              <w:snapToGrid/>
              <w:spacing w:after="0"/>
              <w:rPr>
                <w:rFonts w:hint="eastAsia" w:ascii="仿宋" w:hAnsi="仿宋" w:eastAsia="仿宋" w:cs="仿宋"/>
                <w:sz w:val="24"/>
                <w:szCs w:val="24"/>
              </w:rPr>
            </w:pPr>
            <w:r>
              <w:rPr>
                <w:rFonts w:hint="eastAsia" w:ascii="仿宋" w:hAnsi="仿宋" w:eastAsia="仿宋" w:cs="仿宋"/>
                <w:sz w:val="24"/>
                <w:szCs w:val="24"/>
              </w:rPr>
              <w:t>桥架</w:t>
            </w:r>
            <w:r>
              <w:rPr>
                <w:rFonts w:hint="eastAsia" w:ascii="仿宋" w:hAnsi="仿宋" w:eastAsia="仿宋" w:cs="仿宋"/>
                <w:sz w:val="24"/>
                <w:szCs w:val="24"/>
              </w:rPr>
              <w:br w:type="textWrapping"/>
            </w:r>
            <w:r>
              <w:rPr>
                <w:rFonts w:hint="eastAsia" w:ascii="仿宋" w:hAnsi="仿宋" w:eastAsia="仿宋" w:cs="仿宋"/>
                <w:sz w:val="24"/>
                <w:szCs w:val="24"/>
              </w:rPr>
              <w:t>1.名称:400V电缆桥架</w:t>
            </w:r>
            <w:r>
              <w:rPr>
                <w:rFonts w:hint="eastAsia" w:ascii="仿宋" w:hAnsi="仿宋" w:eastAsia="仿宋" w:cs="仿宋"/>
                <w:sz w:val="24"/>
                <w:szCs w:val="24"/>
              </w:rPr>
              <w:br w:type="textWrapping"/>
            </w:r>
            <w:r>
              <w:rPr>
                <w:rFonts w:hint="eastAsia" w:ascii="仿宋" w:hAnsi="仿宋" w:eastAsia="仿宋" w:cs="仿宋"/>
                <w:sz w:val="24"/>
                <w:szCs w:val="24"/>
              </w:rPr>
              <w:t>2.型号:按设计及施工规范</w:t>
            </w:r>
            <w:r>
              <w:rPr>
                <w:rFonts w:hint="eastAsia" w:ascii="仿宋" w:hAnsi="仿宋" w:eastAsia="仿宋" w:cs="仿宋"/>
                <w:sz w:val="24"/>
                <w:szCs w:val="24"/>
              </w:rPr>
              <w:br w:type="textWrapping"/>
            </w:r>
            <w:r>
              <w:rPr>
                <w:rFonts w:hint="eastAsia" w:ascii="仿宋" w:hAnsi="仿宋" w:eastAsia="仿宋" w:cs="仿宋"/>
                <w:sz w:val="24"/>
                <w:szCs w:val="24"/>
              </w:rPr>
              <w:t>3.规格:800*200</w:t>
            </w:r>
            <w:r>
              <w:rPr>
                <w:rFonts w:hint="eastAsia" w:ascii="仿宋" w:hAnsi="仿宋" w:eastAsia="仿宋" w:cs="仿宋"/>
                <w:sz w:val="24"/>
                <w:szCs w:val="24"/>
              </w:rPr>
              <w:br w:type="textWrapping"/>
            </w:r>
            <w:r>
              <w:rPr>
                <w:rFonts w:hint="eastAsia" w:ascii="仿宋" w:hAnsi="仿宋" w:eastAsia="仿宋" w:cs="仿宋"/>
                <w:sz w:val="24"/>
                <w:szCs w:val="24"/>
              </w:rPr>
              <w:t>4.材质:按设计及施工规范</w:t>
            </w:r>
            <w:r>
              <w:rPr>
                <w:rFonts w:hint="eastAsia" w:ascii="仿宋" w:hAnsi="仿宋" w:eastAsia="仿宋" w:cs="仿宋"/>
                <w:sz w:val="24"/>
                <w:szCs w:val="24"/>
              </w:rPr>
              <w:br w:type="textWrapping"/>
            </w:r>
            <w:r>
              <w:rPr>
                <w:rFonts w:hint="eastAsia" w:ascii="仿宋" w:hAnsi="仿宋" w:eastAsia="仿宋" w:cs="仿宋"/>
                <w:sz w:val="24"/>
                <w:szCs w:val="24"/>
              </w:rPr>
              <w:t>5.其他:材料采购、运输、保管，桥架及连接件安装、支吊架安装、接地线连接、防腐处理、防火封堵等</w:t>
            </w:r>
          </w:p>
        </w:tc>
        <w:tc>
          <w:tcPr>
            <w:tcW w:w="411" w:type="pct"/>
            <w:tcBorders>
              <w:top w:val="nil"/>
              <w:left w:val="nil"/>
              <w:bottom w:val="single" w:color="auto" w:sz="4" w:space="0"/>
              <w:right w:val="single" w:color="auto" w:sz="4" w:space="0"/>
            </w:tcBorders>
            <w:shd w:val="clear" w:color="auto" w:fill="auto"/>
            <w:vAlign w:val="center"/>
          </w:tcPr>
          <w:p w14:paraId="05DD7821">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m</w:t>
            </w:r>
          </w:p>
        </w:tc>
        <w:tc>
          <w:tcPr>
            <w:tcW w:w="603" w:type="pct"/>
            <w:tcBorders>
              <w:top w:val="nil"/>
              <w:left w:val="nil"/>
              <w:bottom w:val="single" w:color="auto" w:sz="4" w:space="0"/>
              <w:right w:val="single" w:color="auto" w:sz="4" w:space="0"/>
            </w:tcBorders>
            <w:shd w:val="clear" w:color="auto" w:fill="auto"/>
            <w:noWrap/>
            <w:vAlign w:val="center"/>
          </w:tcPr>
          <w:p w14:paraId="396081B6">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5.00</w:t>
            </w:r>
          </w:p>
        </w:tc>
        <w:tc>
          <w:tcPr>
            <w:tcW w:w="734" w:type="pct"/>
            <w:tcBorders>
              <w:top w:val="nil"/>
              <w:left w:val="nil"/>
              <w:bottom w:val="single" w:color="auto" w:sz="4" w:space="0"/>
              <w:right w:val="single" w:color="auto" w:sz="4" w:space="0"/>
            </w:tcBorders>
            <w:shd w:val="clear" w:color="auto" w:fill="auto"/>
            <w:vAlign w:val="center"/>
          </w:tcPr>
          <w:p w14:paraId="749F7A8A">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86.49 </w:t>
            </w:r>
          </w:p>
        </w:tc>
        <w:tc>
          <w:tcPr>
            <w:tcW w:w="794" w:type="pct"/>
            <w:tcBorders>
              <w:top w:val="nil"/>
              <w:left w:val="nil"/>
              <w:bottom w:val="single" w:color="auto" w:sz="4" w:space="0"/>
              <w:right w:val="single" w:color="auto" w:sz="4" w:space="0"/>
            </w:tcBorders>
            <w:shd w:val="clear" w:color="auto" w:fill="auto"/>
            <w:vAlign w:val="center"/>
          </w:tcPr>
          <w:p w14:paraId="72DA3F3B">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432.45 </w:t>
            </w:r>
          </w:p>
        </w:tc>
      </w:tr>
      <w:tr w14:paraId="67D7213B">
        <w:tblPrEx>
          <w:tblCellMar>
            <w:top w:w="0" w:type="dxa"/>
            <w:left w:w="108" w:type="dxa"/>
            <w:bottom w:w="0" w:type="dxa"/>
            <w:right w:w="108" w:type="dxa"/>
          </w:tblCellMar>
        </w:tblPrEx>
        <w:trPr>
          <w:trHeight w:val="1875"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403CCC93">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3</w:t>
            </w:r>
          </w:p>
        </w:tc>
        <w:tc>
          <w:tcPr>
            <w:tcW w:w="2118" w:type="pct"/>
            <w:tcBorders>
              <w:top w:val="nil"/>
              <w:left w:val="nil"/>
              <w:bottom w:val="single" w:color="auto" w:sz="4" w:space="0"/>
              <w:right w:val="single" w:color="auto" w:sz="4" w:space="0"/>
            </w:tcBorders>
            <w:shd w:val="clear" w:color="auto" w:fill="auto"/>
            <w:vAlign w:val="center"/>
          </w:tcPr>
          <w:p w14:paraId="4C854CFF">
            <w:pPr>
              <w:adjustRightInd/>
              <w:snapToGrid/>
              <w:spacing w:after="0"/>
              <w:rPr>
                <w:rFonts w:hint="eastAsia" w:ascii="仿宋" w:hAnsi="仿宋" w:eastAsia="仿宋" w:cs="仿宋"/>
                <w:sz w:val="24"/>
                <w:szCs w:val="24"/>
              </w:rPr>
            </w:pPr>
            <w:r>
              <w:rPr>
                <w:rFonts w:hint="eastAsia" w:ascii="仿宋" w:hAnsi="仿宋" w:eastAsia="仿宋" w:cs="仿宋"/>
                <w:sz w:val="24"/>
                <w:szCs w:val="24"/>
              </w:rPr>
              <w:t>桥架</w:t>
            </w:r>
            <w:r>
              <w:rPr>
                <w:rFonts w:hint="eastAsia" w:ascii="仿宋" w:hAnsi="仿宋" w:eastAsia="仿宋" w:cs="仿宋"/>
                <w:sz w:val="24"/>
                <w:szCs w:val="24"/>
              </w:rPr>
              <w:br w:type="textWrapping"/>
            </w:r>
            <w:r>
              <w:rPr>
                <w:rFonts w:hint="eastAsia" w:ascii="仿宋" w:hAnsi="仿宋" w:eastAsia="仿宋" w:cs="仿宋"/>
                <w:sz w:val="24"/>
                <w:szCs w:val="24"/>
              </w:rPr>
              <w:t>1.名称:400V电缆桥架</w:t>
            </w:r>
            <w:r>
              <w:rPr>
                <w:rFonts w:hint="eastAsia" w:ascii="仿宋" w:hAnsi="仿宋" w:eastAsia="仿宋" w:cs="仿宋"/>
                <w:sz w:val="24"/>
                <w:szCs w:val="24"/>
              </w:rPr>
              <w:br w:type="textWrapping"/>
            </w:r>
            <w:r>
              <w:rPr>
                <w:rFonts w:hint="eastAsia" w:ascii="仿宋" w:hAnsi="仿宋" w:eastAsia="仿宋" w:cs="仿宋"/>
                <w:sz w:val="24"/>
                <w:szCs w:val="24"/>
              </w:rPr>
              <w:t>2.型号:按设计及施工规范</w:t>
            </w:r>
            <w:r>
              <w:rPr>
                <w:rFonts w:hint="eastAsia" w:ascii="仿宋" w:hAnsi="仿宋" w:eastAsia="仿宋" w:cs="仿宋"/>
                <w:sz w:val="24"/>
                <w:szCs w:val="24"/>
              </w:rPr>
              <w:br w:type="textWrapping"/>
            </w:r>
            <w:r>
              <w:rPr>
                <w:rFonts w:hint="eastAsia" w:ascii="仿宋" w:hAnsi="仿宋" w:eastAsia="仿宋" w:cs="仿宋"/>
                <w:sz w:val="24"/>
                <w:szCs w:val="24"/>
              </w:rPr>
              <w:t>3.规格:1000*200</w:t>
            </w:r>
            <w:r>
              <w:rPr>
                <w:rFonts w:hint="eastAsia" w:ascii="仿宋" w:hAnsi="仿宋" w:eastAsia="仿宋" w:cs="仿宋"/>
                <w:sz w:val="24"/>
                <w:szCs w:val="24"/>
              </w:rPr>
              <w:br w:type="textWrapping"/>
            </w:r>
            <w:r>
              <w:rPr>
                <w:rFonts w:hint="eastAsia" w:ascii="仿宋" w:hAnsi="仿宋" w:eastAsia="仿宋" w:cs="仿宋"/>
                <w:sz w:val="24"/>
                <w:szCs w:val="24"/>
              </w:rPr>
              <w:t>4.材质:按设计及施工规范</w:t>
            </w:r>
            <w:r>
              <w:rPr>
                <w:rFonts w:hint="eastAsia" w:ascii="仿宋" w:hAnsi="仿宋" w:eastAsia="仿宋" w:cs="仿宋"/>
                <w:sz w:val="24"/>
                <w:szCs w:val="24"/>
              </w:rPr>
              <w:br w:type="textWrapping"/>
            </w:r>
            <w:r>
              <w:rPr>
                <w:rFonts w:hint="eastAsia" w:ascii="仿宋" w:hAnsi="仿宋" w:eastAsia="仿宋" w:cs="仿宋"/>
                <w:sz w:val="24"/>
                <w:szCs w:val="24"/>
              </w:rPr>
              <w:t>5.其他:材料采购、运输、保管，桥架及连接件安装、支吊架安装、接地线连接、防腐处理、防火封堵等</w:t>
            </w:r>
          </w:p>
        </w:tc>
        <w:tc>
          <w:tcPr>
            <w:tcW w:w="411" w:type="pct"/>
            <w:tcBorders>
              <w:top w:val="nil"/>
              <w:left w:val="nil"/>
              <w:bottom w:val="single" w:color="auto" w:sz="4" w:space="0"/>
              <w:right w:val="single" w:color="auto" w:sz="4" w:space="0"/>
            </w:tcBorders>
            <w:shd w:val="clear" w:color="auto" w:fill="auto"/>
            <w:vAlign w:val="center"/>
          </w:tcPr>
          <w:p w14:paraId="74BC8F62">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m</w:t>
            </w:r>
          </w:p>
        </w:tc>
        <w:tc>
          <w:tcPr>
            <w:tcW w:w="603" w:type="pct"/>
            <w:tcBorders>
              <w:top w:val="nil"/>
              <w:left w:val="nil"/>
              <w:bottom w:val="single" w:color="auto" w:sz="4" w:space="0"/>
              <w:right w:val="single" w:color="auto" w:sz="4" w:space="0"/>
            </w:tcBorders>
            <w:shd w:val="clear" w:color="auto" w:fill="auto"/>
            <w:noWrap/>
            <w:vAlign w:val="center"/>
          </w:tcPr>
          <w:p w14:paraId="61FB8C5A">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5.00</w:t>
            </w:r>
          </w:p>
        </w:tc>
        <w:tc>
          <w:tcPr>
            <w:tcW w:w="734" w:type="pct"/>
            <w:tcBorders>
              <w:top w:val="nil"/>
              <w:left w:val="nil"/>
              <w:bottom w:val="single" w:color="auto" w:sz="4" w:space="0"/>
              <w:right w:val="single" w:color="auto" w:sz="4" w:space="0"/>
            </w:tcBorders>
            <w:shd w:val="clear" w:color="auto" w:fill="auto"/>
            <w:vAlign w:val="center"/>
          </w:tcPr>
          <w:p w14:paraId="5D471EC7">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101.42 </w:t>
            </w:r>
          </w:p>
        </w:tc>
        <w:tc>
          <w:tcPr>
            <w:tcW w:w="794" w:type="pct"/>
            <w:tcBorders>
              <w:top w:val="nil"/>
              <w:left w:val="nil"/>
              <w:bottom w:val="single" w:color="auto" w:sz="4" w:space="0"/>
              <w:right w:val="single" w:color="auto" w:sz="4" w:space="0"/>
            </w:tcBorders>
            <w:shd w:val="clear" w:color="auto" w:fill="auto"/>
            <w:vAlign w:val="center"/>
          </w:tcPr>
          <w:p w14:paraId="7356B931">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507.10 </w:t>
            </w:r>
          </w:p>
        </w:tc>
      </w:tr>
      <w:tr w14:paraId="0AF231FD">
        <w:tblPrEx>
          <w:tblCellMar>
            <w:top w:w="0" w:type="dxa"/>
            <w:left w:w="108" w:type="dxa"/>
            <w:bottom w:w="0" w:type="dxa"/>
            <w:right w:w="108" w:type="dxa"/>
          </w:tblCellMar>
        </w:tblPrEx>
        <w:trPr>
          <w:trHeight w:val="420"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533861D1">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　</w:t>
            </w:r>
          </w:p>
        </w:tc>
        <w:tc>
          <w:tcPr>
            <w:tcW w:w="2118" w:type="pct"/>
            <w:tcBorders>
              <w:top w:val="nil"/>
              <w:left w:val="nil"/>
              <w:bottom w:val="single" w:color="auto" w:sz="4" w:space="0"/>
              <w:right w:val="single" w:color="auto" w:sz="4" w:space="0"/>
            </w:tcBorders>
            <w:shd w:val="clear" w:color="auto" w:fill="auto"/>
            <w:vAlign w:val="center"/>
          </w:tcPr>
          <w:p w14:paraId="2728C5E6">
            <w:pPr>
              <w:adjustRightInd/>
              <w:snapToGrid/>
              <w:spacing w:after="0"/>
              <w:rPr>
                <w:rFonts w:hint="eastAsia" w:ascii="仿宋" w:hAnsi="仿宋" w:eastAsia="仿宋" w:cs="仿宋"/>
                <w:sz w:val="24"/>
                <w:szCs w:val="24"/>
              </w:rPr>
            </w:pPr>
            <w:r>
              <w:rPr>
                <w:rFonts w:hint="eastAsia" w:ascii="仿宋" w:hAnsi="仿宋" w:eastAsia="仿宋" w:cs="仿宋"/>
                <w:sz w:val="24"/>
                <w:szCs w:val="24"/>
              </w:rPr>
              <w:t>2#小区配电室</w:t>
            </w:r>
          </w:p>
        </w:tc>
        <w:tc>
          <w:tcPr>
            <w:tcW w:w="411" w:type="pct"/>
            <w:tcBorders>
              <w:top w:val="nil"/>
              <w:left w:val="nil"/>
              <w:bottom w:val="single" w:color="auto" w:sz="4" w:space="0"/>
              <w:right w:val="single" w:color="auto" w:sz="4" w:space="0"/>
            </w:tcBorders>
            <w:shd w:val="clear" w:color="auto" w:fill="auto"/>
            <w:vAlign w:val="center"/>
          </w:tcPr>
          <w:p w14:paraId="74664401">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c>
          <w:tcPr>
            <w:tcW w:w="603" w:type="pct"/>
            <w:tcBorders>
              <w:top w:val="nil"/>
              <w:left w:val="nil"/>
              <w:bottom w:val="single" w:color="auto" w:sz="4" w:space="0"/>
              <w:right w:val="single" w:color="auto" w:sz="4" w:space="0"/>
            </w:tcBorders>
            <w:shd w:val="clear" w:color="auto" w:fill="auto"/>
            <w:noWrap/>
            <w:vAlign w:val="center"/>
          </w:tcPr>
          <w:p w14:paraId="602B837D">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c>
          <w:tcPr>
            <w:tcW w:w="734" w:type="pct"/>
            <w:tcBorders>
              <w:top w:val="nil"/>
              <w:left w:val="nil"/>
              <w:bottom w:val="single" w:color="auto" w:sz="4" w:space="0"/>
              <w:right w:val="single" w:color="auto" w:sz="4" w:space="0"/>
            </w:tcBorders>
            <w:shd w:val="clear" w:color="auto" w:fill="auto"/>
            <w:vAlign w:val="center"/>
          </w:tcPr>
          <w:p w14:paraId="64BF89C2">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c>
          <w:tcPr>
            <w:tcW w:w="794" w:type="pct"/>
            <w:tcBorders>
              <w:top w:val="nil"/>
              <w:left w:val="nil"/>
              <w:bottom w:val="single" w:color="auto" w:sz="4" w:space="0"/>
              <w:right w:val="single" w:color="auto" w:sz="4" w:space="0"/>
            </w:tcBorders>
            <w:shd w:val="clear" w:color="auto" w:fill="auto"/>
            <w:vAlign w:val="center"/>
          </w:tcPr>
          <w:p w14:paraId="7D4C7D72">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r>
      <w:tr w14:paraId="497A96B7">
        <w:tblPrEx>
          <w:tblCellMar>
            <w:top w:w="0" w:type="dxa"/>
            <w:left w:w="108" w:type="dxa"/>
            <w:bottom w:w="0" w:type="dxa"/>
            <w:right w:w="108" w:type="dxa"/>
          </w:tblCellMar>
        </w:tblPrEx>
        <w:trPr>
          <w:trHeight w:val="1980"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20EDF8D1">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4</w:t>
            </w:r>
          </w:p>
        </w:tc>
        <w:tc>
          <w:tcPr>
            <w:tcW w:w="2118" w:type="pct"/>
            <w:tcBorders>
              <w:top w:val="nil"/>
              <w:left w:val="nil"/>
              <w:bottom w:val="single" w:color="auto" w:sz="4" w:space="0"/>
              <w:right w:val="single" w:color="auto" w:sz="4" w:space="0"/>
            </w:tcBorders>
            <w:shd w:val="clear" w:color="auto" w:fill="auto"/>
            <w:vAlign w:val="center"/>
          </w:tcPr>
          <w:p w14:paraId="7C1129D7">
            <w:pPr>
              <w:adjustRightInd/>
              <w:snapToGrid/>
              <w:spacing w:after="0"/>
              <w:rPr>
                <w:rFonts w:hint="eastAsia" w:ascii="仿宋" w:hAnsi="仿宋" w:eastAsia="仿宋" w:cs="仿宋"/>
                <w:sz w:val="24"/>
                <w:szCs w:val="24"/>
              </w:rPr>
            </w:pPr>
            <w:r>
              <w:rPr>
                <w:rFonts w:hint="eastAsia" w:ascii="仿宋" w:hAnsi="仿宋" w:eastAsia="仿宋" w:cs="仿宋"/>
                <w:sz w:val="24"/>
                <w:szCs w:val="24"/>
              </w:rPr>
              <w:t>桥架</w:t>
            </w:r>
            <w:r>
              <w:rPr>
                <w:rFonts w:hint="eastAsia" w:ascii="仿宋" w:hAnsi="仿宋" w:eastAsia="仿宋" w:cs="仿宋"/>
                <w:sz w:val="24"/>
                <w:szCs w:val="24"/>
              </w:rPr>
              <w:br w:type="page"/>
            </w:r>
            <w:r>
              <w:rPr>
                <w:rFonts w:hint="eastAsia" w:ascii="仿宋" w:hAnsi="仿宋" w:eastAsia="仿宋" w:cs="仿宋"/>
                <w:sz w:val="24"/>
                <w:szCs w:val="24"/>
              </w:rPr>
              <w:t>1.名称:10kV电缆桥架</w:t>
            </w:r>
            <w:r>
              <w:rPr>
                <w:rFonts w:hint="eastAsia" w:ascii="仿宋" w:hAnsi="仿宋" w:eastAsia="仿宋" w:cs="仿宋"/>
                <w:sz w:val="24"/>
                <w:szCs w:val="24"/>
              </w:rPr>
              <w:br w:type="page"/>
            </w:r>
            <w:r>
              <w:rPr>
                <w:rFonts w:hint="eastAsia" w:ascii="仿宋" w:hAnsi="仿宋" w:eastAsia="仿宋" w:cs="仿宋"/>
                <w:sz w:val="24"/>
                <w:szCs w:val="24"/>
              </w:rPr>
              <w:t>2.型号:按设计及施工规范</w:t>
            </w:r>
            <w:r>
              <w:rPr>
                <w:rFonts w:hint="eastAsia" w:ascii="仿宋" w:hAnsi="仿宋" w:eastAsia="仿宋" w:cs="仿宋"/>
                <w:sz w:val="24"/>
                <w:szCs w:val="24"/>
              </w:rPr>
              <w:br w:type="page"/>
            </w:r>
            <w:r>
              <w:rPr>
                <w:rFonts w:hint="eastAsia" w:ascii="仿宋" w:hAnsi="仿宋" w:eastAsia="仿宋" w:cs="仿宋"/>
                <w:sz w:val="24"/>
                <w:szCs w:val="24"/>
              </w:rPr>
              <w:t>3.规格:400*200</w:t>
            </w:r>
            <w:r>
              <w:rPr>
                <w:rFonts w:hint="eastAsia" w:ascii="仿宋" w:hAnsi="仿宋" w:eastAsia="仿宋" w:cs="仿宋"/>
                <w:sz w:val="24"/>
                <w:szCs w:val="24"/>
              </w:rPr>
              <w:br w:type="page"/>
            </w:r>
            <w:r>
              <w:rPr>
                <w:rFonts w:hint="eastAsia" w:ascii="仿宋" w:hAnsi="仿宋" w:eastAsia="仿宋" w:cs="仿宋"/>
                <w:sz w:val="24"/>
                <w:szCs w:val="24"/>
              </w:rPr>
              <w:t>4.材质:按设计及施工规范</w:t>
            </w:r>
            <w:r>
              <w:rPr>
                <w:rFonts w:hint="eastAsia" w:ascii="仿宋" w:hAnsi="仿宋" w:eastAsia="仿宋" w:cs="仿宋"/>
                <w:sz w:val="24"/>
                <w:szCs w:val="24"/>
              </w:rPr>
              <w:br w:type="page"/>
            </w:r>
            <w:r>
              <w:rPr>
                <w:rFonts w:hint="eastAsia" w:ascii="仿宋" w:hAnsi="仿宋" w:eastAsia="仿宋" w:cs="仿宋"/>
                <w:sz w:val="24"/>
                <w:szCs w:val="24"/>
              </w:rPr>
              <w:t>5.其他:材料采购、运输、保管，桥架及连接件安装、支吊架安装、接地线连接、防腐处理、防火封堵等</w:t>
            </w:r>
          </w:p>
        </w:tc>
        <w:tc>
          <w:tcPr>
            <w:tcW w:w="411" w:type="pct"/>
            <w:tcBorders>
              <w:top w:val="nil"/>
              <w:left w:val="nil"/>
              <w:bottom w:val="single" w:color="auto" w:sz="4" w:space="0"/>
              <w:right w:val="single" w:color="auto" w:sz="4" w:space="0"/>
            </w:tcBorders>
            <w:shd w:val="clear" w:color="auto" w:fill="auto"/>
            <w:vAlign w:val="center"/>
          </w:tcPr>
          <w:p w14:paraId="37488F9E">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m</w:t>
            </w:r>
          </w:p>
        </w:tc>
        <w:tc>
          <w:tcPr>
            <w:tcW w:w="603" w:type="pct"/>
            <w:tcBorders>
              <w:top w:val="nil"/>
              <w:left w:val="nil"/>
              <w:bottom w:val="single" w:color="auto" w:sz="4" w:space="0"/>
              <w:right w:val="single" w:color="auto" w:sz="4" w:space="0"/>
            </w:tcBorders>
            <w:shd w:val="clear" w:color="auto" w:fill="auto"/>
            <w:noWrap/>
            <w:vAlign w:val="center"/>
          </w:tcPr>
          <w:p w14:paraId="61281523">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5.00</w:t>
            </w:r>
          </w:p>
        </w:tc>
        <w:tc>
          <w:tcPr>
            <w:tcW w:w="734" w:type="pct"/>
            <w:tcBorders>
              <w:top w:val="nil"/>
              <w:left w:val="nil"/>
              <w:bottom w:val="single" w:color="auto" w:sz="4" w:space="0"/>
              <w:right w:val="single" w:color="auto" w:sz="4" w:space="0"/>
            </w:tcBorders>
            <w:shd w:val="clear" w:color="auto" w:fill="auto"/>
            <w:vAlign w:val="center"/>
          </w:tcPr>
          <w:p w14:paraId="2E2AF91B">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51.41 </w:t>
            </w:r>
          </w:p>
        </w:tc>
        <w:tc>
          <w:tcPr>
            <w:tcW w:w="794" w:type="pct"/>
            <w:tcBorders>
              <w:top w:val="nil"/>
              <w:left w:val="nil"/>
              <w:bottom w:val="single" w:color="auto" w:sz="4" w:space="0"/>
              <w:right w:val="single" w:color="auto" w:sz="4" w:space="0"/>
            </w:tcBorders>
            <w:shd w:val="clear" w:color="auto" w:fill="auto"/>
            <w:vAlign w:val="center"/>
          </w:tcPr>
          <w:p w14:paraId="56B7EF86">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257.05 </w:t>
            </w:r>
          </w:p>
        </w:tc>
      </w:tr>
      <w:tr w14:paraId="4B2C96AD">
        <w:tblPrEx>
          <w:tblCellMar>
            <w:top w:w="0" w:type="dxa"/>
            <w:left w:w="108" w:type="dxa"/>
            <w:bottom w:w="0" w:type="dxa"/>
            <w:right w:w="108" w:type="dxa"/>
          </w:tblCellMar>
        </w:tblPrEx>
        <w:trPr>
          <w:trHeight w:val="1980"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547E7C0A">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5</w:t>
            </w:r>
          </w:p>
        </w:tc>
        <w:tc>
          <w:tcPr>
            <w:tcW w:w="2118" w:type="pct"/>
            <w:tcBorders>
              <w:top w:val="nil"/>
              <w:left w:val="nil"/>
              <w:bottom w:val="single" w:color="auto" w:sz="4" w:space="0"/>
              <w:right w:val="single" w:color="auto" w:sz="4" w:space="0"/>
            </w:tcBorders>
            <w:shd w:val="clear" w:color="auto" w:fill="auto"/>
            <w:vAlign w:val="center"/>
          </w:tcPr>
          <w:p w14:paraId="0E878E06">
            <w:pPr>
              <w:adjustRightInd/>
              <w:snapToGrid/>
              <w:spacing w:after="0"/>
              <w:rPr>
                <w:rFonts w:hint="eastAsia" w:ascii="仿宋" w:hAnsi="仿宋" w:eastAsia="仿宋" w:cs="仿宋"/>
                <w:sz w:val="24"/>
                <w:szCs w:val="24"/>
              </w:rPr>
            </w:pPr>
            <w:r>
              <w:rPr>
                <w:rFonts w:hint="eastAsia" w:ascii="仿宋" w:hAnsi="仿宋" w:eastAsia="仿宋" w:cs="仿宋"/>
                <w:sz w:val="24"/>
                <w:szCs w:val="24"/>
              </w:rPr>
              <w:t>桥架</w:t>
            </w:r>
            <w:r>
              <w:rPr>
                <w:rFonts w:hint="eastAsia" w:ascii="仿宋" w:hAnsi="仿宋" w:eastAsia="仿宋" w:cs="仿宋"/>
                <w:sz w:val="24"/>
                <w:szCs w:val="24"/>
              </w:rPr>
              <w:br w:type="textWrapping"/>
            </w:r>
            <w:r>
              <w:rPr>
                <w:rFonts w:hint="eastAsia" w:ascii="仿宋" w:hAnsi="仿宋" w:eastAsia="仿宋" w:cs="仿宋"/>
                <w:sz w:val="24"/>
                <w:szCs w:val="24"/>
              </w:rPr>
              <w:t>1.名称:400V电缆桥架</w:t>
            </w:r>
            <w:r>
              <w:rPr>
                <w:rFonts w:hint="eastAsia" w:ascii="仿宋" w:hAnsi="仿宋" w:eastAsia="仿宋" w:cs="仿宋"/>
                <w:sz w:val="24"/>
                <w:szCs w:val="24"/>
              </w:rPr>
              <w:br w:type="textWrapping"/>
            </w:r>
            <w:r>
              <w:rPr>
                <w:rFonts w:hint="eastAsia" w:ascii="仿宋" w:hAnsi="仿宋" w:eastAsia="仿宋" w:cs="仿宋"/>
                <w:sz w:val="24"/>
                <w:szCs w:val="24"/>
              </w:rPr>
              <w:t>2.型号:按设计及施工规范</w:t>
            </w:r>
            <w:r>
              <w:rPr>
                <w:rFonts w:hint="eastAsia" w:ascii="仿宋" w:hAnsi="仿宋" w:eastAsia="仿宋" w:cs="仿宋"/>
                <w:sz w:val="24"/>
                <w:szCs w:val="24"/>
              </w:rPr>
              <w:br w:type="textWrapping"/>
            </w:r>
            <w:r>
              <w:rPr>
                <w:rFonts w:hint="eastAsia" w:ascii="仿宋" w:hAnsi="仿宋" w:eastAsia="仿宋" w:cs="仿宋"/>
                <w:sz w:val="24"/>
                <w:szCs w:val="24"/>
              </w:rPr>
              <w:t>3.规格:400*200</w:t>
            </w:r>
            <w:r>
              <w:rPr>
                <w:rFonts w:hint="eastAsia" w:ascii="仿宋" w:hAnsi="仿宋" w:eastAsia="仿宋" w:cs="仿宋"/>
                <w:sz w:val="24"/>
                <w:szCs w:val="24"/>
              </w:rPr>
              <w:br w:type="textWrapping"/>
            </w:r>
            <w:r>
              <w:rPr>
                <w:rFonts w:hint="eastAsia" w:ascii="仿宋" w:hAnsi="仿宋" w:eastAsia="仿宋" w:cs="仿宋"/>
                <w:sz w:val="24"/>
                <w:szCs w:val="24"/>
              </w:rPr>
              <w:t>4.材质:按设计及施工规范</w:t>
            </w:r>
            <w:r>
              <w:rPr>
                <w:rFonts w:hint="eastAsia" w:ascii="仿宋" w:hAnsi="仿宋" w:eastAsia="仿宋" w:cs="仿宋"/>
                <w:sz w:val="24"/>
                <w:szCs w:val="24"/>
              </w:rPr>
              <w:br w:type="textWrapping"/>
            </w:r>
            <w:r>
              <w:rPr>
                <w:rFonts w:hint="eastAsia" w:ascii="仿宋" w:hAnsi="仿宋" w:eastAsia="仿宋" w:cs="仿宋"/>
                <w:sz w:val="24"/>
                <w:szCs w:val="24"/>
              </w:rPr>
              <w:t>5.其他:材料采购、运输、保管，桥架及连接件安装、支吊架安装、接地线连接、防腐处理、防火封堵等</w:t>
            </w:r>
          </w:p>
        </w:tc>
        <w:tc>
          <w:tcPr>
            <w:tcW w:w="411" w:type="pct"/>
            <w:tcBorders>
              <w:top w:val="nil"/>
              <w:left w:val="nil"/>
              <w:bottom w:val="single" w:color="auto" w:sz="4" w:space="0"/>
              <w:right w:val="single" w:color="auto" w:sz="4" w:space="0"/>
            </w:tcBorders>
            <w:shd w:val="clear" w:color="auto" w:fill="auto"/>
            <w:vAlign w:val="center"/>
          </w:tcPr>
          <w:p w14:paraId="0377B3B5">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m</w:t>
            </w:r>
          </w:p>
        </w:tc>
        <w:tc>
          <w:tcPr>
            <w:tcW w:w="603" w:type="pct"/>
            <w:tcBorders>
              <w:top w:val="nil"/>
              <w:left w:val="nil"/>
              <w:bottom w:val="single" w:color="auto" w:sz="4" w:space="0"/>
              <w:right w:val="single" w:color="auto" w:sz="4" w:space="0"/>
            </w:tcBorders>
            <w:shd w:val="clear" w:color="auto" w:fill="auto"/>
            <w:noWrap/>
            <w:vAlign w:val="center"/>
          </w:tcPr>
          <w:p w14:paraId="47B46A13">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5.00</w:t>
            </w:r>
          </w:p>
        </w:tc>
        <w:tc>
          <w:tcPr>
            <w:tcW w:w="734" w:type="pct"/>
            <w:tcBorders>
              <w:top w:val="nil"/>
              <w:left w:val="nil"/>
              <w:bottom w:val="single" w:color="auto" w:sz="4" w:space="0"/>
              <w:right w:val="single" w:color="auto" w:sz="4" w:space="0"/>
            </w:tcBorders>
            <w:shd w:val="clear" w:color="auto" w:fill="auto"/>
            <w:vAlign w:val="center"/>
          </w:tcPr>
          <w:p w14:paraId="572880A2">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51.41 </w:t>
            </w:r>
          </w:p>
        </w:tc>
        <w:tc>
          <w:tcPr>
            <w:tcW w:w="794" w:type="pct"/>
            <w:tcBorders>
              <w:top w:val="nil"/>
              <w:left w:val="nil"/>
              <w:bottom w:val="single" w:color="auto" w:sz="4" w:space="0"/>
              <w:right w:val="single" w:color="auto" w:sz="4" w:space="0"/>
            </w:tcBorders>
            <w:shd w:val="clear" w:color="auto" w:fill="auto"/>
            <w:vAlign w:val="center"/>
          </w:tcPr>
          <w:p w14:paraId="4F926299">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257.05 </w:t>
            </w:r>
          </w:p>
        </w:tc>
      </w:tr>
      <w:tr w14:paraId="32EAFF16">
        <w:tblPrEx>
          <w:tblCellMar>
            <w:top w:w="0" w:type="dxa"/>
            <w:left w:w="108" w:type="dxa"/>
            <w:bottom w:w="0" w:type="dxa"/>
            <w:right w:w="108" w:type="dxa"/>
          </w:tblCellMar>
        </w:tblPrEx>
        <w:trPr>
          <w:trHeight w:val="1980"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47E88670">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6</w:t>
            </w:r>
          </w:p>
        </w:tc>
        <w:tc>
          <w:tcPr>
            <w:tcW w:w="2118" w:type="pct"/>
            <w:tcBorders>
              <w:top w:val="nil"/>
              <w:left w:val="nil"/>
              <w:bottom w:val="single" w:color="auto" w:sz="4" w:space="0"/>
              <w:right w:val="single" w:color="auto" w:sz="4" w:space="0"/>
            </w:tcBorders>
            <w:shd w:val="clear" w:color="auto" w:fill="auto"/>
            <w:vAlign w:val="center"/>
          </w:tcPr>
          <w:p w14:paraId="5082E55C">
            <w:pPr>
              <w:adjustRightInd/>
              <w:snapToGrid/>
              <w:spacing w:after="0"/>
              <w:rPr>
                <w:rFonts w:hint="eastAsia" w:ascii="仿宋" w:hAnsi="仿宋" w:eastAsia="仿宋" w:cs="仿宋"/>
                <w:sz w:val="24"/>
                <w:szCs w:val="24"/>
              </w:rPr>
            </w:pPr>
            <w:r>
              <w:rPr>
                <w:rFonts w:hint="eastAsia" w:ascii="仿宋" w:hAnsi="仿宋" w:eastAsia="仿宋" w:cs="仿宋"/>
                <w:sz w:val="24"/>
                <w:szCs w:val="24"/>
              </w:rPr>
              <w:t>桥架</w:t>
            </w:r>
            <w:r>
              <w:rPr>
                <w:rFonts w:hint="eastAsia" w:ascii="仿宋" w:hAnsi="仿宋" w:eastAsia="仿宋" w:cs="仿宋"/>
                <w:sz w:val="24"/>
                <w:szCs w:val="24"/>
              </w:rPr>
              <w:br w:type="textWrapping"/>
            </w:r>
            <w:r>
              <w:rPr>
                <w:rFonts w:hint="eastAsia" w:ascii="仿宋" w:hAnsi="仿宋" w:eastAsia="仿宋" w:cs="仿宋"/>
                <w:sz w:val="24"/>
                <w:szCs w:val="24"/>
              </w:rPr>
              <w:t>1.名称:400V电缆桥架</w:t>
            </w:r>
            <w:r>
              <w:rPr>
                <w:rFonts w:hint="eastAsia" w:ascii="仿宋" w:hAnsi="仿宋" w:eastAsia="仿宋" w:cs="仿宋"/>
                <w:sz w:val="24"/>
                <w:szCs w:val="24"/>
              </w:rPr>
              <w:br w:type="textWrapping"/>
            </w:r>
            <w:r>
              <w:rPr>
                <w:rFonts w:hint="eastAsia" w:ascii="仿宋" w:hAnsi="仿宋" w:eastAsia="仿宋" w:cs="仿宋"/>
                <w:sz w:val="24"/>
                <w:szCs w:val="24"/>
              </w:rPr>
              <w:t>2.型号:按设计及施工规范</w:t>
            </w:r>
            <w:r>
              <w:rPr>
                <w:rFonts w:hint="eastAsia" w:ascii="仿宋" w:hAnsi="仿宋" w:eastAsia="仿宋" w:cs="仿宋"/>
                <w:sz w:val="24"/>
                <w:szCs w:val="24"/>
              </w:rPr>
              <w:br w:type="textWrapping"/>
            </w:r>
            <w:r>
              <w:rPr>
                <w:rFonts w:hint="eastAsia" w:ascii="仿宋" w:hAnsi="仿宋" w:eastAsia="仿宋" w:cs="仿宋"/>
                <w:sz w:val="24"/>
                <w:szCs w:val="24"/>
              </w:rPr>
              <w:t>3.规格:1000*200</w:t>
            </w:r>
            <w:r>
              <w:rPr>
                <w:rFonts w:hint="eastAsia" w:ascii="仿宋" w:hAnsi="仿宋" w:eastAsia="仿宋" w:cs="仿宋"/>
                <w:sz w:val="24"/>
                <w:szCs w:val="24"/>
              </w:rPr>
              <w:br w:type="textWrapping"/>
            </w:r>
            <w:r>
              <w:rPr>
                <w:rFonts w:hint="eastAsia" w:ascii="仿宋" w:hAnsi="仿宋" w:eastAsia="仿宋" w:cs="仿宋"/>
                <w:sz w:val="24"/>
                <w:szCs w:val="24"/>
              </w:rPr>
              <w:t>4.材质:按设计及施工规范</w:t>
            </w:r>
            <w:r>
              <w:rPr>
                <w:rFonts w:hint="eastAsia" w:ascii="仿宋" w:hAnsi="仿宋" w:eastAsia="仿宋" w:cs="仿宋"/>
                <w:sz w:val="24"/>
                <w:szCs w:val="24"/>
              </w:rPr>
              <w:br w:type="textWrapping"/>
            </w:r>
            <w:r>
              <w:rPr>
                <w:rFonts w:hint="eastAsia" w:ascii="仿宋" w:hAnsi="仿宋" w:eastAsia="仿宋" w:cs="仿宋"/>
                <w:sz w:val="24"/>
                <w:szCs w:val="24"/>
              </w:rPr>
              <w:t>5.其他:材料采购、运输、保管，桥架及连接件安装、支吊架安装、接地线连接、防腐处理、防火封堵等</w:t>
            </w:r>
          </w:p>
        </w:tc>
        <w:tc>
          <w:tcPr>
            <w:tcW w:w="411" w:type="pct"/>
            <w:tcBorders>
              <w:top w:val="nil"/>
              <w:left w:val="nil"/>
              <w:bottom w:val="single" w:color="auto" w:sz="4" w:space="0"/>
              <w:right w:val="single" w:color="auto" w:sz="4" w:space="0"/>
            </w:tcBorders>
            <w:shd w:val="clear" w:color="auto" w:fill="auto"/>
            <w:vAlign w:val="center"/>
          </w:tcPr>
          <w:p w14:paraId="6CB4D96E">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m</w:t>
            </w:r>
          </w:p>
        </w:tc>
        <w:tc>
          <w:tcPr>
            <w:tcW w:w="603" w:type="pct"/>
            <w:tcBorders>
              <w:top w:val="nil"/>
              <w:left w:val="nil"/>
              <w:bottom w:val="single" w:color="auto" w:sz="4" w:space="0"/>
              <w:right w:val="single" w:color="auto" w:sz="4" w:space="0"/>
            </w:tcBorders>
            <w:shd w:val="clear" w:color="auto" w:fill="auto"/>
            <w:noWrap/>
            <w:vAlign w:val="center"/>
          </w:tcPr>
          <w:p w14:paraId="5AA2A094">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5.00</w:t>
            </w:r>
          </w:p>
        </w:tc>
        <w:tc>
          <w:tcPr>
            <w:tcW w:w="734" w:type="pct"/>
            <w:tcBorders>
              <w:top w:val="nil"/>
              <w:left w:val="nil"/>
              <w:bottom w:val="single" w:color="auto" w:sz="4" w:space="0"/>
              <w:right w:val="single" w:color="auto" w:sz="4" w:space="0"/>
            </w:tcBorders>
            <w:shd w:val="clear" w:color="auto" w:fill="auto"/>
            <w:vAlign w:val="center"/>
          </w:tcPr>
          <w:p w14:paraId="4876CCE5">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101.42 </w:t>
            </w:r>
          </w:p>
        </w:tc>
        <w:tc>
          <w:tcPr>
            <w:tcW w:w="794" w:type="pct"/>
            <w:tcBorders>
              <w:top w:val="nil"/>
              <w:left w:val="nil"/>
              <w:bottom w:val="single" w:color="auto" w:sz="4" w:space="0"/>
              <w:right w:val="single" w:color="auto" w:sz="4" w:space="0"/>
            </w:tcBorders>
            <w:shd w:val="clear" w:color="auto" w:fill="auto"/>
            <w:vAlign w:val="center"/>
          </w:tcPr>
          <w:p w14:paraId="05D4AD65">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507.10 </w:t>
            </w:r>
          </w:p>
        </w:tc>
      </w:tr>
      <w:tr w14:paraId="71CB32B9">
        <w:tblPrEx>
          <w:tblCellMar>
            <w:top w:w="0" w:type="dxa"/>
            <w:left w:w="108" w:type="dxa"/>
            <w:bottom w:w="0" w:type="dxa"/>
            <w:right w:w="108" w:type="dxa"/>
          </w:tblCellMar>
        </w:tblPrEx>
        <w:trPr>
          <w:trHeight w:val="420"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642A0B0F">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　</w:t>
            </w:r>
          </w:p>
        </w:tc>
        <w:tc>
          <w:tcPr>
            <w:tcW w:w="2118" w:type="pct"/>
            <w:tcBorders>
              <w:top w:val="nil"/>
              <w:left w:val="nil"/>
              <w:bottom w:val="single" w:color="auto" w:sz="4" w:space="0"/>
              <w:right w:val="single" w:color="auto" w:sz="4" w:space="0"/>
            </w:tcBorders>
            <w:shd w:val="clear" w:color="auto" w:fill="auto"/>
            <w:vAlign w:val="center"/>
          </w:tcPr>
          <w:p w14:paraId="484EC04A">
            <w:pPr>
              <w:adjustRightInd/>
              <w:snapToGrid/>
              <w:spacing w:after="0"/>
              <w:rPr>
                <w:rFonts w:hint="eastAsia" w:ascii="仿宋" w:hAnsi="仿宋" w:eastAsia="仿宋" w:cs="仿宋"/>
                <w:sz w:val="24"/>
                <w:szCs w:val="24"/>
              </w:rPr>
            </w:pPr>
            <w:r>
              <w:rPr>
                <w:rFonts w:hint="eastAsia" w:ascii="仿宋" w:hAnsi="仿宋" w:eastAsia="仿宋" w:cs="仿宋"/>
                <w:sz w:val="24"/>
                <w:szCs w:val="24"/>
              </w:rPr>
              <w:t>红线内表箱供电-安装</w:t>
            </w:r>
          </w:p>
        </w:tc>
        <w:tc>
          <w:tcPr>
            <w:tcW w:w="411" w:type="pct"/>
            <w:tcBorders>
              <w:top w:val="nil"/>
              <w:left w:val="nil"/>
              <w:bottom w:val="single" w:color="auto" w:sz="4" w:space="0"/>
              <w:right w:val="single" w:color="auto" w:sz="4" w:space="0"/>
            </w:tcBorders>
            <w:shd w:val="clear" w:color="auto" w:fill="auto"/>
            <w:vAlign w:val="center"/>
          </w:tcPr>
          <w:p w14:paraId="06D1585C">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c>
          <w:tcPr>
            <w:tcW w:w="603" w:type="pct"/>
            <w:tcBorders>
              <w:top w:val="nil"/>
              <w:left w:val="nil"/>
              <w:bottom w:val="single" w:color="auto" w:sz="4" w:space="0"/>
              <w:right w:val="single" w:color="auto" w:sz="4" w:space="0"/>
            </w:tcBorders>
            <w:shd w:val="clear" w:color="auto" w:fill="auto"/>
            <w:vAlign w:val="center"/>
          </w:tcPr>
          <w:p w14:paraId="78C1568C">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c>
          <w:tcPr>
            <w:tcW w:w="734" w:type="pct"/>
            <w:tcBorders>
              <w:top w:val="nil"/>
              <w:left w:val="nil"/>
              <w:bottom w:val="single" w:color="auto" w:sz="4" w:space="0"/>
              <w:right w:val="single" w:color="auto" w:sz="4" w:space="0"/>
            </w:tcBorders>
            <w:shd w:val="clear" w:color="auto" w:fill="auto"/>
            <w:vAlign w:val="center"/>
          </w:tcPr>
          <w:p w14:paraId="68A11ACE">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c>
          <w:tcPr>
            <w:tcW w:w="794" w:type="pct"/>
            <w:tcBorders>
              <w:top w:val="nil"/>
              <w:left w:val="nil"/>
              <w:bottom w:val="single" w:color="auto" w:sz="4" w:space="0"/>
              <w:right w:val="single" w:color="auto" w:sz="4" w:space="0"/>
            </w:tcBorders>
            <w:shd w:val="clear" w:color="auto" w:fill="auto"/>
            <w:vAlign w:val="center"/>
          </w:tcPr>
          <w:p w14:paraId="241FE24B">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r>
      <w:tr w14:paraId="112E9E8E">
        <w:tblPrEx>
          <w:tblCellMar>
            <w:top w:w="0" w:type="dxa"/>
            <w:left w:w="108" w:type="dxa"/>
            <w:bottom w:w="0" w:type="dxa"/>
            <w:right w:w="108" w:type="dxa"/>
          </w:tblCellMar>
        </w:tblPrEx>
        <w:trPr>
          <w:trHeight w:val="1905"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4EA98784">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7</w:t>
            </w:r>
          </w:p>
        </w:tc>
        <w:tc>
          <w:tcPr>
            <w:tcW w:w="2118" w:type="pct"/>
            <w:tcBorders>
              <w:top w:val="nil"/>
              <w:left w:val="nil"/>
              <w:bottom w:val="single" w:color="auto" w:sz="4" w:space="0"/>
              <w:right w:val="single" w:color="auto" w:sz="4" w:space="0"/>
            </w:tcBorders>
            <w:shd w:val="clear" w:color="auto" w:fill="auto"/>
            <w:vAlign w:val="center"/>
          </w:tcPr>
          <w:p w14:paraId="11F93BED">
            <w:pPr>
              <w:adjustRightInd/>
              <w:snapToGrid/>
              <w:spacing w:after="0"/>
              <w:rPr>
                <w:rFonts w:hint="eastAsia" w:ascii="仿宋" w:hAnsi="仿宋" w:eastAsia="仿宋" w:cs="仿宋"/>
                <w:sz w:val="24"/>
                <w:szCs w:val="24"/>
              </w:rPr>
            </w:pPr>
            <w:r>
              <w:rPr>
                <w:rFonts w:hint="eastAsia" w:ascii="仿宋" w:hAnsi="仿宋" w:eastAsia="仿宋" w:cs="仿宋"/>
                <w:sz w:val="24"/>
                <w:szCs w:val="24"/>
              </w:rPr>
              <w:t>桥架</w:t>
            </w:r>
            <w:r>
              <w:rPr>
                <w:rFonts w:hint="eastAsia" w:ascii="仿宋" w:hAnsi="仿宋" w:eastAsia="仿宋" w:cs="仿宋"/>
                <w:sz w:val="24"/>
                <w:szCs w:val="24"/>
              </w:rPr>
              <w:br w:type="page"/>
            </w:r>
            <w:r>
              <w:rPr>
                <w:rFonts w:hint="eastAsia" w:ascii="仿宋" w:hAnsi="仿宋" w:eastAsia="仿宋" w:cs="仿宋"/>
                <w:sz w:val="24"/>
                <w:szCs w:val="24"/>
              </w:rPr>
              <w:t>1.名称:桥架</w:t>
            </w:r>
            <w:r>
              <w:rPr>
                <w:rFonts w:hint="eastAsia" w:ascii="仿宋" w:hAnsi="仿宋" w:eastAsia="仿宋" w:cs="仿宋"/>
                <w:sz w:val="24"/>
                <w:szCs w:val="24"/>
              </w:rPr>
              <w:br w:type="page"/>
            </w:r>
            <w:r>
              <w:rPr>
                <w:rFonts w:hint="eastAsia" w:ascii="仿宋" w:hAnsi="仿宋" w:eastAsia="仿宋" w:cs="仿宋"/>
                <w:sz w:val="24"/>
                <w:szCs w:val="24"/>
              </w:rPr>
              <w:t>2.型号:按设计及施工规范</w:t>
            </w:r>
            <w:r>
              <w:rPr>
                <w:rFonts w:hint="eastAsia" w:ascii="仿宋" w:hAnsi="仿宋" w:eastAsia="仿宋" w:cs="仿宋"/>
                <w:sz w:val="24"/>
                <w:szCs w:val="24"/>
              </w:rPr>
              <w:br w:type="page"/>
            </w:r>
            <w:r>
              <w:rPr>
                <w:rFonts w:hint="eastAsia" w:ascii="仿宋" w:hAnsi="仿宋" w:eastAsia="仿宋" w:cs="仿宋"/>
                <w:sz w:val="24"/>
                <w:szCs w:val="24"/>
              </w:rPr>
              <w:t>3.规格:400*200</w:t>
            </w:r>
            <w:r>
              <w:rPr>
                <w:rFonts w:hint="eastAsia" w:ascii="仿宋" w:hAnsi="仿宋" w:eastAsia="仿宋" w:cs="仿宋"/>
                <w:sz w:val="24"/>
                <w:szCs w:val="24"/>
              </w:rPr>
              <w:br w:type="page"/>
            </w:r>
            <w:r>
              <w:rPr>
                <w:rFonts w:hint="eastAsia" w:ascii="仿宋" w:hAnsi="仿宋" w:eastAsia="仿宋" w:cs="仿宋"/>
                <w:sz w:val="24"/>
                <w:szCs w:val="24"/>
              </w:rPr>
              <w:t>4.材质:按设计及施工规范</w:t>
            </w:r>
            <w:r>
              <w:rPr>
                <w:rFonts w:hint="eastAsia" w:ascii="仿宋" w:hAnsi="仿宋" w:eastAsia="仿宋" w:cs="仿宋"/>
                <w:sz w:val="24"/>
                <w:szCs w:val="24"/>
              </w:rPr>
              <w:br w:type="page"/>
            </w:r>
            <w:r>
              <w:rPr>
                <w:rFonts w:hint="eastAsia" w:ascii="仿宋" w:hAnsi="仿宋" w:eastAsia="仿宋" w:cs="仿宋"/>
                <w:sz w:val="24"/>
                <w:szCs w:val="24"/>
              </w:rPr>
              <w:t>5.其他:材料采购、运输、保管，桥架及连接件安装、支吊架安装、接地线连接、防腐处理、防火封堵等</w:t>
            </w:r>
            <w:r>
              <w:rPr>
                <w:rFonts w:hint="eastAsia" w:ascii="仿宋" w:hAnsi="仿宋" w:eastAsia="仿宋" w:cs="仿宋"/>
                <w:sz w:val="24"/>
                <w:szCs w:val="24"/>
              </w:rPr>
              <w:br w:type="page"/>
            </w:r>
          </w:p>
        </w:tc>
        <w:tc>
          <w:tcPr>
            <w:tcW w:w="411" w:type="pct"/>
            <w:tcBorders>
              <w:top w:val="nil"/>
              <w:left w:val="nil"/>
              <w:bottom w:val="single" w:color="auto" w:sz="4" w:space="0"/>
              <w:right w:val="single" w:color="auto" w:sz="4" w:space="0"/>
            </w:tcBorders>
            <w:shd w:val="clear" w:color="auto" w:fill="auto"/>
            <w:vAlign w:val="center"/>
          </w:tcPr>
          <w:p w14:paraId="3C25B34D">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m</w:t>
            </w:r>
          </w:p>
        </w:tc>
        <w:tc>
          <w:tcPr>
            <w:tcW w:w="603" w:type="pct"/>
            <w:tcBorders>
              <w:top w:val="nil"/>
              <w:left w:val="nil"/>
              <w:bottom w:val="single" w:color="auto" w:sz="4" w:space="0"/>
              <w:right w:val="single" w:color="auto" w:sz="4" w:space="0"/>
            </w:tcBorders>
            <w:shd w:val="clear" w:color="auto" w:fill="auto"/>
            <w:noWrap/>
            <w:vAlign w:val="center"/>
          </w:tcPr>
          <w:p w14:paraId="7564AD02">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837.98</w:t>
            </w:r>
          </w:p>
        </w:tc>
        <w:tc>
          <w:tcPr>
            <w:tcW w:w="734" w:type="pct"/>
            <w:tcBorders>
              <w:top w:val="nil"/>
              <w:left w:val="nil"/>
              <w:bottom w:val="single" w:color="auto" w:sz="4" w:space="0"/>
              <w:right w:val="single" w:color="auto" w:sz="4" w:space="0"/>
            </w:tcBorders>
            <w:shd w:val="clear" w:color="auto" w:fill="auto"/>
            <w:vAlign w:val="center"/>
          </w:tcPr>
          <w:p w14:paraId="6EA0EFBC">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51.41 </w:t>
            </w:r>
          </w:p>
        </w:tc>
        <w:tc>
          <w:tcPr>
            <w:tcW w:w="794" w:type="pct"/>
            <w:tcBorders>
              <w:top w:val="nil"/>
              <w:left w:val="nil"/>
              <w:bottom w:val="single" w:color="auto" w:sz="4" w:space="0"/>
              <w:right w:val="single" w:color="auto" w:sz="4" w:space="0"/>
            </w:tcBorders>
            <w:shd w:val="clear" w:color="auto" w:fill="auto"/>
            <w:vAlign w:val="center"/>
          </w:tcPr>
          <w:p w14:paraId="09F680F0">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43080.55 </w:t>
            </w:r>
          </w:p>
        </w:tc>
      </w:tr>
      <w:tr w14:paraId="736B26B1">
        <w:tblPrEx>
          <w:tblCellMar>
            <w:top w:w="0" w:type="dxa"/>
            <w:left w:w="108" w:type="dxa"/>
            <w:bottom w:w="0" w:type="dxa"/>
            <w:right w:w="108" w:type="dxa"/>
          </w:tblCellMar>
        </w:tblPrEx>
        <w:trPr>
          <w:trHeight w:val="1905"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345EEF58">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8</w:t>
            </w:r>
          </w:p>
        </w:tc>
        <w:tc>
          <w:tcPr>
            <w:tcW w:w="2118" w:type="pct"/>
            <w:tcBorders>
              <w:top w:val="nil"/>
              <w:left w:val="nil"/>
              <w:bottom w:val="single" w:color="auto" w:sz="4" w:space="0"/>
              <w:right w:val="single" w:color="auto" w:sz="4" w:space="0"/>
            </w:tcBorders>
            <w:shd w:val="clear" w:color="auto" w:fill="auto"/>
            <w:vAlign w:val="center"/>
          </w:tcPr>
          <w:p w14:paraId="500E4660">
            <w:pPr>
              <w:adjustRightInd/>
              <w:snapToGrid/>
              <w:spacing w:after="0"/>
              <w:rPr>
                <w:rFonts w:hint="eastAsia" w:ascii="仿宋" w:hAnsi="仿宋" w:eastAsia="仿宋" w:cs="仿宋"/>
                <w:sz w:val="24"/>
                <w:szCs w:val="24"/>
              </w:rPr>
            </w:pPr>
            <w:r>
              <w:rPr>
                <w:rFonts w:hint="eastAsia" w:ascii="仿宋" w:hAnsi="仿宋" w:eastAsia="仿宋" w:cs="仿宋"/>
                <w:sz w:val="24"/>
                <w:szCs w:val="24"/>
              </w:rPr>
              <w:t>桥架</w:t>
            </w:r>
            <w:r>
              <w:rPr>
                <w:rFonts w:hint="eastAsia" w:ascii="仿宋" w:hAnsi="仿宋" w:eastAsia="仿宋" w:cs="仿宋"/>
                <w:sz w:val="24"/>
                <w:szCs w:val="24"/>
              </w:rPr>
              <w:br w:type="textWrapping"/>
            </w:r>
            <w:r>
              <w:rPr>
                <w:rFonts w:hint="eastAsia" w:ascii="仿宋" w:hAnsi="仿宋" w:eastAsia="仿宋" w:cs="仿宋"/>
                <w:sz w:val="24"/>
                <w:szCs w:val="24"/>
              </w:rPr>
              <w:t>1.名称:桥架</w:t>
            </w:r>
            <w:r>
              <w:rPr>
                <w:rFonts w:hint="eastAsia" w:ascii="仿宋" w:hAnsi="仿宋" w:eastAsia="仿宋" w:cs="仿宋"/>
                <w:sz w:val="24"/>
                <w:szCs w:val="24"/>
              </w:rPr>
              <w:br w:type="textWrapping"/>
            </w:r>
            <w:r>
              <w:rPr>
                <w:rFonts w:hint="eastAsia" w:ascii="仿宋" w:hAnsi="仿宋" w:eastAsia="仿宋" w:cs="仿宋"/>
                <w:sz w:val="24"/>
                <w:szCs w:val="24"/>
              </w:rPr>
              <w:t>2.型号:按设计及施工规范</w:t>
            </w:r>
            <w:r>
              <w:rPr>
                <w:rFonts w:hint="eastAsia" w:ascii="仿宋" w:hAnsi="仿宋" w:eastAsia="仿宋" w:cs="仿宋"/>
                <w:sz w:val="24"/>
                <w:szCs w:val="24"/>
              </w:rPr>
              <w:br w:type="textWrapping"/>
            </w:r>
            <w:r>
              <w:rPr>
                <w:rFonts w:hint="eastAsia" w:ascii="仿宋" w:hAnsi="仿宋" w:eastAsia="仿宋" w:cs="仿宋"/>
                <w:sz w:val="24"/>
                <w:szCs w:val="24"/>
              </w:rPr>
              <w:t>3.规格:600*200</w:t>
            </w:r>
            <w:r>
              <w:rPr>
                <w:rFonts w:hint="eastAsia" w:ascii="仿宋" w:hAnsi="仿宋" w:eastAsia="仿宋" w:cs="仿宋"/>
                <w:sz w:val="24"/>
                <w:szCs w:val="24"/>
              </w:rPr>
              <w:br w:type="textWrapping"/>
            </w:r>
            <w:r>
              <w:rPr>
                <w:rFonts w:hint="eastAsia" w:ascii="仿宋" w:hAnsi="仿宋" w:eastAsia="仿宋" w:cs="仿宋"/>
                <w:sz w:val="24"/>
                <w:szCs w:val="24"/>
              </w:rPr>
              <w:t>4.材质:按设计及施工规范</w:t>
            </w:r>
            <w:r>
              <w:rPr>
                <w:rFonts w:hint="eastAsia" w:ascii="仿宋" w:hAnsi="仿宋" w:eastAsia="仿宋" w:cs="仿宋"/>
                <w:sz w:val="24"/>
                <w:szCs w:val="24"/>
              </w:rPr>
              <w:br w:type="textWrapping"/>
            </w:r>
            <w:r>
              <w:rPr>
                <w:rFonts w:hint="eastAsia" w:ascii="仿宋" w:hAnsi="仿宋" w:eastAsia="仿宋" w:cs="仿宋"/>
                <w:sz w:val="24"/>
                <w:szCs w:val="24"/>
              </w:rPr>
              <w:t>5.其他:材料采购、运输、保管，桥架及连接件安装、支吊架安装、接地线连接、防腐处理、防火封堵等</w:t>
            </w:r>
          </w:p>
        </w:tc>
        <w:tc>
          <w:tcPr>
            <w:tcW w:w="411" w:type="pct"/>
            <w:tcBorders>
              <w:top w:val="nil"/>
              <w:left w:val="nil"/>
              <w:bottom w:val="single" w:color="auto" w:sz="4" w:space="0"/>
              <w:right w:val="single" w:color="auto" w:sz="4" w:space="0"/>
            </w:tcBorders>
            <w:shd w:val="clear" w:color="auto" w:fill="auto"/>
            <w:vAlign w:val="center"/>
          </w:tcPr>
          <w:p w14:paraId="5921D7D2">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m</w:t>
            </w:r>
          </w:p>
        </w:tc>
        <w:tc>
          <w:tcPr>
            <w:tcW w:w="603" w:type="pct"/>
            <w:tcBorders>
              <w:top w:val="nil"/>
              <w:left w:val="nil"/>
              <w:bottom w:val="single" w:color="auto" w:sz="4" w:space="0"/>
              <w:right w:val="single" w:color="auto" w:sz="4" w:space="0"/>
            </w:tcBorders>
            <w:shd w:val="clear" w:color="auto" w:fill="auto"/>
            <w:noWrap/>
            <w:vAlign w:val="center"/>
          </w:tcPr>
          <w:p w14:paraId="035842E0">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51.66</w:t>
            </w:r>
          </w:p>
        </w:tc>
        <w:tc>
          <w:tcPr>
            <w:tcW w:w="734" w:type="pct"/>
            <w:tcBorders>
              <w:top w:val="nil"/>
              <w:left w:val="nil"/>
              <w:bottom w:val="single" w:color="auto" w:sz="4" w:space="0"/>
              <w:right w:val="single" w:color="auto" w:sz="4" w:space="0"/>
            </w:tcBorders>
            <w:shd w:val="clear" w:color="auto" w:fill="auto"/>
            <w:vAlign w:val="center"/>
          </w:tcPr>
          <w:p w14:paraId="71CBA139">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80.39 </w:t>
            </w:r>
          </w:p>
        </w:tc>
        <w:tc>
          <w:tcPr>
            <w:tcW w:w="794" w:type="pct"/>
            <w:tcBorders>
              <w:top w:val="nil"/>
              <w:left w:val="nil"/>
              <w:bottom w:val="single" w:color="auto" w:sz="4" w:space="0"/>
              <w:right w:val="single" w:color="auto" w:sz="4" w:space="0"/>
            </w:tcBorders>
            <w:shd w:val="clear" w:color="auto" w:fill="auto"/>
            <w:vAlign w:val="center"/>
          </w:tcPr>
          <w:p w14:paraId="2096CE9B">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4152.95 </w:t>
            </w:r>
          </w:p>
        </w:tc>
      </w:tr>
      <w:tr w14:paraId="5444B05C">
        <w:tblPrEx>
          <w:tblCellMar>
            <w:top w:w="0" w:type="dxa"/>
            <w:left w:w="108" w:type="dxa"/>
            <w:bottom w:w="0" w:type="dxa"/>
            <w:right w:w="108" w:type="dxa"/>
          </w:tblCellMar>
        </w:tblPrEx>
        <w:trPr>
          <w:trHeight w:val="1905"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2CA9A57A">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9</w:t>
            </w:r>
          </w:p>
        </w:tc>
        <w:tc>
          <w:tcPr>
            <w:tcW w:w="2118" w:type="pct"/>
            <w:tcBorders>
              <w:top w:val="nil"/>
              <w:left w:val="nil"/>
              <w:bottom w:val="single" w:color="auto" w:sz="4" w:space="0"/>
              <w:right w:val="single" w:color="auto" w:sz="4" w:space="0"/>
            </w:tcBorders>
            <w:shd w:val="clear" w:color="auto" w:fill="auto"/>
            <w:vAlign w:val="center"/>
          </w:tcPr>
          <w:p w14:paraId="7AF98D43">
            <w:pPr>
              <w:adjustRightInd/>
              <w:snapToGrid/>
              <w:spacing w:after="0"/>
              <w:rPr>
                <w:rFonts w:hint="eastAsia" w:ascii="仿宋" w:hAnsi="仿宋" w:eastAsia="仿宋" w:cs="仿宋"/>
                <w:sz w:val="24"/>
                <w:szCs w:val="24"/>
              </w:rPr>
            </w:pPr>
            <w:r>
              <w:rPr>
                <w:rFonts w:hint="eastAsia" w:ascii="仿宋" w:hAnsi="仿宋" w:eastAsia="仿宋" w:cs="仿宋"/>
                <w:sz w:val="24"/>
                <w:szCs w:val="24"/>
              </w:rPr>
              <w:t>桥架</w:t>
            </w:r>
            <w:r>
              <w:rPr>
                <w:rFonts w:hint="eastAsia" w:ascii="仿宋" w:hAnsi="仿宋" w:eastAsia="仿宋" w:cs="仿宋"/>
                <w:sz w:val="24"/>
                <w:szCs w:val="24"/>
              </w:rPr>
              <w:br w:type="textWrapping"/>
            </w:r>
            <w:r>
              <w:rPr>
                <w:rFonts w:hint="eastAsia" w:ascii="仿宋" w:hAnsi="仿宋" w:eastAsia="仿宋" w:cs="仿宋"/>
                <w:sz w:val="24"/>
                <w:szCs w:val="24"/>
              </w:rPr>
              <w:t>1.名称:桥架</w:t>
            </w:r>
            <w:r>
              <w:rPr>
                <w:rFonts w:hint="eastAsia" w:ascii="仿宋" w:hAnsi="仿宋" w:eastAsia="仿宋" w:cs="仿宋"/>
                <w:sz w:val="24"/>
                <w:szCs w:val="24"/>
              </w:rPr>
              <w:br w:type="textWrapping"/>
            </w:r>
            <w:r>
              <w:rPr>
                <w:rFonts w:hint="eastAsia" w:ascii="仿宋" w:hAnsi="仿宋" w:eastAsia="仿宋" w:cs="仿宋"/>
                <w:sz w:val="24"/>
                <w:szCs w:val="24"/>
              </w:rPr>
              <w:t>2.型号:按设计及施工规范</w:t>
            </w:r>
            <w:r>
              <w:rPr>
                <w:rFonts w:hint="eastAsia" w:ascii="仿宋" w:hAnsi="仿宋" w:eastAsia="仿宋" w:cs="仿宋"/>
                <w:sz w:val="24"/>
                <w:szCs w:val="24"/>
              </w:rPr>
              <w:br w:type="textWrapping"/>
            </w:r>
            <w:r>
              <w:rPr>
                <w:rFonts w:hint="eastAsia" w:ascii="仿宋" w:hAnsi="仿宋" w:eastAsia="仿宋" w:cs="仿宋"/>
                <w:sz w:val="24"/>
                <w:szCs w:val="24"/>
              </w:rPr>
              <w:t>3.规格:800*200</w:t>
            </w:r>
            <w:r>
              <w:rPr>
                <w:rFonts w:hint="eastAsia" w:ascii="仿宋" w:hAnsi="仿宋" w:eastAsia="仿宋" w:cs="仿宋"/>
                <w:sz w:val="24"/>
                <w:szCs w:val="24"/>
              </w:rPr>
              <w:br w:type="textWrapping"/>
            </w:r>
            <w:r>
              <w:rPr>
                <w:rFonts w:hint="eastAsia" w:ascii="仿宋" w:hAnsi="仿宋" w:eastAsia="仿宋" w:cs="仿宋"/>
                <w:sz w:val="24"/>
                <w:szCs w:val="24"/>
              </w:rPr>
              <w:t>4.材质:按设计及施工规范</w:t>
            </w:r>
            <w:r>
              <w:rPr>
                <w:rFonts w:hint="eastAsia" w:ascii="仿宋" w:hAnsi="仿宋" w:eastAsia="仿宋" w:cs="仿宋"/>
                <w:sz w:val="24"/>
                <w:szCs w:val="24"/>
              </w:rPr>
              <w:br w:type="textWrapping"/>
            </w:r>
            <w:r>
              <w:rPr>
                <w:rFonts w:hint="eastAsia" w:ascii="仿宋" w:hAnsi="仿宋" w:eastAsia="仿宋" w:cs="仿宋"/>
                <w:sz w:val="24"/>
                <w:szCs w:val="24"/>
              </w:rPr>
              <w:t>5.其他:材料采购、运输、保管，桥架及连接件安装、支吊架安装、接地线连接、防腐处理、防火封堵等</w:t>
            </w:r>
          </w:p>
        </w:tc>
        <w:tc>
          <w:tcPr>
            <w:tcW w:w="411" w:type="pct"/>
            <w:tcBorders>
              <w:top w:val="nil"/>
              <w:left w:val="nil"/>
              <w:bottom w:val="single" w:color="auto" w:sz="4" w:space="0"/>
              <w:right w:val="single" w:color="auto" w:sz="4" w:space="0"/>
            </w:tcBorders>
            <w:shd w:val="clear" w:color="auto" w:fill="auto"/>
            <w:vAlign w:val="center"/>
          </w:tcPr>
          <w:p w14:paraId="377A424A">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m</w:t>
            </w:r>
          </w:p>
        </w:tc>
        <w:tc>
          <w:tcPr>
            <w:tcW w:w="603" w:type="pct"/>
            <w:tcBorders>
              <w:top w:val="nil"/>
              <w:left w:val="nil"/>
              <w:bottom w:val="single" w:color="auto" w:sz="4" w:space="0"/>
              <w:right w:val="single" w:color="auto" w:sz="4" w:space="0"/>
            </w:tcBorders>
            <w:shd w:val="clear" w:color="auto" w:fill="auto"/>
            <w:noWrap/>
            <w:vAlign w:val="center"/>
          </w:tcPr>
          <w:p w14:paraId="3462AD0F">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101.72</w:t>
            </w:r>
          </w:p>
        </w:tc>
        <w:tc>
          <w:tcPr>
            <w:tcW w:w="734" w:type="pct"/>
            <w:tcBorders>
              <w:top w:val="nil"/>
              <w:left w:val="nil"/>
              <w:bottom w:val="single" w:color="auto" w:sz="4" w:space="0"/>
              <w:right w:val="single" w:color="auto" w:sz="4" w:space="0"/>
            </w:tcBorders>
            <w:shd w:val="clear" w:color="auto" w:fill="auto"/>
            <w:vAlign w:val="center"/>
          </w:tcPr>
          <w:p w14:paraId="1EBCE012">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86.49 </w:t>
            </w:r>
          </w:p>
        </w:tc>
        <w:tc>
          <w:tcPr>
            <w:tcW w:w="794" w:type="pct"/>
            <w:tcBorders>
              <w:top w:val="nil"/>
              <w:left w:val="nil"/>
              <w:bottom w:val="single" w:color="auto" w:sz="4" w:space="0"/>
              <w:right w:val="single" w:color="auto" w:sz="4" w:space="0"/>
            </w:tcBorders>
            <w:shd w:val="clear" w:color="auto" w:fill="auto"/>
            <w:vAlign w:val="center"/>
          </w:tcPr>
          <w:p w14:paraId="1CBB19F4">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8797.76 </w:t>
            </w:r>
          </w:p>
        </w:tc>
      </w:tr>
      <w:tr w14:paraId="558F59C1">
        <w:tblPrEx>
          <w:tblCellMar>
            <w:top w:w="0" w:type="dxa"/>
            <w:left w:w="108" w:type="dxa"/>
            <w:bottom w:w="0" w:type="dxa"/>
            <w:right w:w="108" w:type="dxa"/>
          </w:tblCellMar>
        </w:tblPrEx>
        <w:trPr>
          <w:trHeight w:val="1905" w:hRule="atLeast"/>
        </w:trPr>
        <w:tc>
          <w:tcPr>
            <w:tcW w:w="337" w:type="pct"/>
            <w:tcBorders>
              <w:top w:val="nil"/>
              <w:left w:val="single" w:color="auto" w:sz="4" w:space="0"/>
              <w:bottom w:val="single" w:color="auto" w:sz="4" w:space="0"/>
              <w:right w:val="single" w:color="auto" w:sz="4" w:space="0"/>
            </w:tcBorders>
            <w:shd w:val="clear" w:color="auto" w:fill="auto"/>
            <w:vAlign w:val="center"/>
          </w:tcPr>
          <w:p w14:paraId="36E98411">
            <w:pPr>
              <w:adjustRightInd/>
              <w:snapToGrid/>
              <w:spacing w:after="0"/>
              <w:jc w:val="center"/>
              <w:rPr>
                <w:rFonts w:hint="eastAsia" w:ascii="仿宋" w:hAnsi="仿宋" w:eastAsia="仿宋" w:cs="仿宋"/>
                <w:b/>
                <w:bCs/>
                <w:sz w:val="24"/>
                <w:szCs w:val="24"/>
              </w:rPr>
            </w:pPr>
            <w:r>
              <w:rPr>
                <w:rFonts w:hint="eastAsia" w:ascii="仿宋" w:hAnsi="仿宋" w:eastAsia="仿宋" w:cs="仿宋"/>
                <w:b/>
                <w:bCs/>
                <w:sz w:val="24"/>
                <w:szCs w:val="24"/>
              </w:rPr>
              <w:t>10</w:t>
            </w:r>
          </w:p>
        </w:tc>
        <w:tc>
          <w:tcPr>
            <w:tcW w:w="2118" w:type="pct"/>
            <w:tcBorders>
              <w:top w:val="nil"/>
              <w:left w:val="nil"/>
              <w:bottom w:val="single" w:color="auto" w:sz="4" w:space="0"/>
              <w:right w:val="single" w:color="auto" w:sz="4" w:space="0"/>
            </w:tcBorders>
            <w:shd w:val="clear" w:color="auto" w:fill="auto"/>
            <w:vAlign w:val="center"/>
          </w:tcPr>
          <w:p w14:paraId="1BB5B655">
            <w:pPr>
              <w:adjustRightInd/>
              <w:snapToGrid/>
              <w:spacing w:after="0"/>
              <w:rPr>
                <w:rFonts w:hint="eastAsia" w:ascii="仿宋" w:hAnsi="仿宋" w:eastAsia="仿宋" w:cs="仿宋"/>
                <w:sz w:val="24"/>
                <w:szCs w:val="24"/>
              </w:rPr>
            </w:pPr>
            <w:r>
              <w:rPr>
                <w:rFonts w:hint="eastAsia" w:ascii="仿宋" w:hAnsi="仿宋" w:eastAsia="仿宋" w:cs="仿宋"/>
                <w:sz w:val="24"/>
                <w:szCs w:val="24"/>
              </w:rPr>
              <w:t>桥架</w:t>
            </w:r>
            <w:r>
              <w:rPr>
                <w:rFonts w:hint="eastAsia" w:ascii="仿宋" w:hAnsi="仿宋" w:eastAsia="仿宋" w:cs="仿宋"/>
                <w:sz w:val="24"/>
                <w:szCs w:val="24"/>
              </w:rPr>
              <w:br w:type="textWrapping"/>
            </w:r>
            <w:r>
              <w:rPr>
                <w:rFonts w:hint="eastAsia" w:ascii="仿宋" w:hAnsi="仿宋" w:eastAsia="仿宋" w:cs="仿宋"/>
                <w:sz w:val="24"/>
                <w:szCs w:val="24"/>
              </w:rPr>
              <w:t>1.名称:桥架</w:t>
            </w:r>
            <w:r>
              <w:rPr>
                <w:rFonts w:hint="eastAsia" w:ascii="仿宋" w:hAnsi="仿宋" w:eastAsia="仿宋" w:cs="仿宋"/>
                <w:sz w:val="24"/>
                <w:szCs w:val="24"/>
              </w:rPr>
              <w:br w:type="textWrapping"/>
            </w:r>
            <w:r>
              <w:rPr>
                <w:rFonts w:hint="eastAsia" w:ascii="仿宋" w:hAnsi="仿宋" w:eastAsia="仿宋" w:cs="仿宋"/>
                <w:sz w:val="24"/>
                <w:szCs w:val="24"/>
              </w:rPr>
              <w:t>2.型号:按设计及施工规范</w:t>
            </w:r>
            <w:r>
              <w:rPr>
                <w:rFonts w:hint="eastAsia" w:ascii="仿宋" w:hAnsi="仿宋" w:eastAsia="仿宋" w:cs="仿宋"/>
                <w:sz w:val="24"/>
                <w:szCs w:val="24"/>
              </w:rPr>
              <w:br w:type="textWrapping"/>
            </w:r>
            <w:r>
              <w:rPr>
                <w:rFonts w:hint="eastAsia" w:ascii="仿宋" w:hAnsi="仿宋" w:eastAsia="仿宋" w:cs="仿宋"/>
                <w:sz w:val="24"/>
                <w:szCs w:val="24"/>
              </w:rPr>
              <w:t>3.规格:1000*200</w:t>
            </w:r>
            <w:r>
              <w:rPr>
                <w:rFonts w:hint="eastAsia" w:ascii="仿宋" w:hAnsi="仿宋" w:eastAsia="仿宋" w:cs="仿宋"/>
                <w:sz w:val="24"/>
                <w:szCs w:val="24"/>
              </w:rPr>
              <w:br w:type="textWrapping"/>
            </w:r>
            <w:r>
              <w:rPr>
                <w:rFonts w:hint="eastAsia" w:ascii="仿宋" w:hAnsi="仿宋" w:eastAsia="仿宋" w:cs="仿宋"/>
                <w:sz w:val="24"/>
                <w:szCs w:val="24"/>
              </w:rPr>
              <w:t>4.材质:按设计及施工规范</w:t>
            </w:r>
            <w:r>
              <w:rPr>
                <w:rFonts w:hint="eastAsia" w:ascii="仿宋" w:hAnsi="仿宋" w:eastAsia="仿宋" w:cs="仿宋"/>
                <w:sz w:val="24"/>
                <w:szCs w:val="24"/>
              </w:rPr>
              <w:br w:type="textWrapping"/>
            </w:r>
            <w:r>
              <w:rPr>
                <w:rFonts w:hint="eastAsia" w:ascii="仿宋" w:hAnsi="仿宋" w:eastAsia="仿宋" w:cs="仿宋"/>
                <w:sz w:val="24"/>
                <w:szCs w:val="24"/>
              </w:rPr>
              <w:t>5.其他:材料采购、运输、保管，桥架及连接件安装、支吊架安装、接地线连接、防腐处理、防火封堵等</w:t>
            </w:r>
          </w:p>
        </w:tc>
        <w:tc>
          <w:tcPr>
            <w:tcW w:w="411" w:type="pct"/>
            <w:tcBorders>
              <w:top w:val="nil"/>
              <w:left w:val="nil"/>
              <w:bottom w:val="single" w:color="auto" w:sz="4" w:space="0"/>
              <w:right w:val="single" w:color="auto" w:sz="4" w:space="0"/>
            </w:tcBorders>
            <w:shd w:val="clear" w:color="auto" w:fill="auto"/>
            <w:vAlign w:val="center"/>
          </w:tcPr>
          <w:p w14:paraId="3EDADC46">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m</w:t>
            </w:r>
          </w:p>
        </w:tc>
        <w:tc>
          <w:tcPr>
            <w:tcW w:w="603" w:type="pct"/>
            <w:tcBorders>
              <w:top w:val="nil"/>
              <w:left w:val="nil"/>
              <w:bottom w:val="single" w:color="auto" w:sz="4" w:space="0"/>
              <w:right w:val="single" w:color="auto" w:sz="4" w:space="0"/>
            </w:tcBorders>
            <w:shd w:val="clear" w:color="auto" w:fill="auto"/>
            <w:noWrap/>
            <w:vAlign w:val="center"/>
          </w:tcPr>
          <w:p w14:paraId="5AE26B5E">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18.30</w:t>
            </w:r>
          </w:p>
        </w:tc>
        <w:tc>
          <w:tcPr>
            <w:tcW w:w="734" w:type="pct"/>
            <w:tcBorders>
              <w:top w:val="nil"/>
              <w:left w:val="nil"/>
              <w:bottom w:val="single" w:color="auto" w:sz="4" w:space="0"/>
              <w:right w:val="single" w:color="auto" w:sz="4" w:space="0"/>
            </w:tcBorders>
            <w:shd w:val="clear" w:color="auto" w:fill="auto"/>
            <w:vAlign w:val="center"/>
          </w:tcPr>
          <w:p w14:paraId="6B82807A">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101.42 </w:t>
            </w:r>
          </w:p>
        </w:tc>
        <w:tc>
          <w:tcPr>
            <w:tcW w:w="794" w:type="pct"/>
            <w:tcBorders>
              <w:top w:val="nil"/>
              <w:left w:val="nil"/>
              <w:bottom w:val="single" w:color="auto" w:sz="4" w:space="0"/>
              <w:right w:val="single" w:color="auto" w:sz="4" w:space="0"/>
            </w:tcBorders>
            <w:shd w:val="clear" w:color="auto" w:fill="auto"/>
            <w:vAlign w:val="center"/>
          </w:tcPr>
          <w:p w14:paraId="536A8C52">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1855.99 </w:t>
            </w:r>
          </w:p>
        </w:tc>
      </w:tr>
      <w:tr w14:paraId="0F917944">
        <w:tblPrEx>
          <w:tblCellMar>
            <w:top w:w="0" w:type="dxa"/>
            <w:left w:w="108" w:type="dxa"/>
            <w:bottom w:w="0" w:type="dxa"/>
            <w:right w:w="108" w:type="dxa"/>
          </w:tblCellMar>
        </w:tblPrEx>
        <w:trPr>
          <w:trHeight w:val="510" w:hRule="atLeast"/>
        </w:trPr>
        <w:tc>
          <w:tcPr>
            <w:tcW w:w="337" w:type="pct"/>
            <w:tcBorders>
              <w:top w:val="nil"/>
              <w:left w:val="single" w:color="auto" w:sz="4" w:space="0"/>
              <w:bottom w:val="single" w:color="000000" w:sz="4" w:space="0"/>
              <w:right w:val="single" w:color="auto" w:sz="4" w:space="0"/>
            </w:tcBorders>
            <w:shd w:val="clear" w:color="auto" w:fill="auto"/>
            <w:vAlign w:val="center"/>
          </w:tcPr>
          <w:p w14:paraId="2D9DB040">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c>
          <w:tcPr>
            <w:tcW w:w="2118" w:type="pct"/>
            <w:tcBorders>
              <w:top w:val="nil"/>
              <w:left w:val="nil"/>
              <w:bottom w:val="single" w:color="000000" w:sz="4" w:space="0"/>
              <w:right w:val="single" w:color="auto" w:sz="4" w:space="0"/>
            </w:tcBorders>
            <w:shd w:val="clear" w:color="auto" w:fill="auto"/>
            <w:vAlign w:val="center"/>
          </w:tcPr>
          <w:p w14:paraId="1AAE7AE2">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合计</w:t>
            </w:r>
          </w:p>
        </w:tc>
        <w:tc>
          <w:tcPr>
            <w:tcW w:w="411" w:type="pct"/>
            <w:tcBorders>
              <w:top w:val="nil"/>
              <w:left w:val="nil"/>
              <w:bottom w:val="single" w:color="000000" w:sz="4" w:space="0"/>
              <w:right w:val="single" w:color="auto" w:sz="4" w:space="0"/>
            </w:tcBorders>
            <w:shd w:val="clear" w:color="auto" w:fill="auto"/>
            <w:vAlign w:val="center"/>
          </w:tcPr>
          <w:p w14:paraId="20B1C19E">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c>
          <w:tcPr>
            <w:tcW w:w="603" w:type="pct"/>
            <w:tcBorders>
              <w:top w:val="nil"/>
              <w:left w:val="nil"/>
              <w:bottom w:val="single" w:color="000000" w:sz="4" w:space="0"/>
              <w:right w:val="single" w:color="auto" w:sz="4" w:space="0"/>
            </w:tcBorders>
            <w:shd w:val="clear" w:color="auto" w:fill="auto"/>
            <w:vAlign w:val="center"/>
          </w:tcPr>
          <w:p w14:paraId="444B3ED6">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c>
          <w:tcPr>
            <w:tcW w:w="734" w:type="pct"/>
            <w:tcBorders>
              <w:top w:val="nil"/>
              <w:left w:val="nil"/>
              <w:bottom w:val="single" w:color="000000" w:sz="4" w:space="0"/>
              <w:right w:val="single" w:color="auto" w:sz="4" w:space="0"/>
            </w:tcBorders>
            <w:shd w:val="clear" w:color="auto" w:fill="auto"/>
            <w:noWrap/>
            <w:vAlign w:val="center"/>
          </w:tcPr>
          <w:p w14:paraId="3211ABA2">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w:t>
            </w:r>
          </w:p>
        </w:tc>
        <w:tc>
          <w:tcPr>
            <w:tcW w:w="794" w:type="pct"/>
            <w:tcBorders>
              <w:top w:val="nil"/>
              <w:left w:val="nil"/>
              <w:bottom w:val="single" w:color="000000" w:sz="4" w:space="0"/>
              <w:right w:val="single" w:color="auto" w:sz="4" w:space="0"/>
            </w:tcBorders>
            <w:shd w:val="clear" w:color="auto" w:fill="auto"/>
            <w:noWrap/>
            <w:vAlign w:val="center"/>
          </w:tcPr>
          <w:p w14:paraId="7F455259">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 xml:space="preserve">60105.05 </w:t>
            </w:r>
          </w:p>
        </w:tc>
      </w:tr>
      <w:tr w14:paraId="5BE4CD09">
        <w:tblPrEx>
          <w:tblCellMar>
            <w:top w:w="0" w:type="dxa"/>
            <w:left w:w="108" w:type="dxa"/>
            <w:bottom w:w="0" w:type="dxa"/>
            <w:right w:w="108" w:type="dxa"/>
          </w:tblCellMar>
        </w:tblPrEx>
        <w:trPr>
          <w:trHeight w:val="259" w:hRule="atLeast"/>
        </w:trPr>
        <w:tc>
          <w:tcPr>
            <w:tcW w:w="5000" w:type="pct"/>
            <w:gridSpan w:val="6"/>
            <w:vMerge w:val="restart"/>
            <w:tcBorders>
              <w:top w:val="nil"/>
              <w:left w:val="nil"/>
              <w:bottom w:val="nil"/>
              <w:right w:val="nil"/>
            </w:tcBorders>
            <w:shd w:val="clear" w:color="auto" w:fill="auto"/>
          </w:tcPr>
          <w:p w14:paraId="65A7168C">
            <w:pPr>
              <w:adjustRightInd/>
              <w:snapToGrid/>
              <w:spacing w:after="0"/>
              <w:rPr>
                <w:rFonts w:hint="eastAsia" w:ascii="仿宋" w:hAnsi="仿宋" w:eastAsia="仿宋" w:cs="仿宋"/>
                <w:sz w:val="24"/>
                <w:szCs w:val="24"/>
              </w:rPr>
            </w:pPr>
          </w:p>
          <w:p w14:paraId="59AA4EB2">
            <w:pPr>
              <w:adjustRightInd/>
              <w:snapToGrid/>
              <w:spacing w:after="0"/>
              <w:rPr>
                <w:rFonts w:hint="eastAsia" w:ascii="仿宋" w:hAnsi="仿宋" w:eastAsia="仿宋" w:cs="仿宋"/>
                <w:sz w:val="24"/>
                <w:szCs w:val="24"/>
              </w:rPr>
            </w:pPr>
          </w:p>
          <w:p w14:paraId="0BF71165">
            <w:pPr>
              <w:adjustRightInd/>
              <w:snapToGrid/>
              <w:spacing w:after="0"/>
              <w:rPr>
                <w:rFonts w:hint="eastAsia" w:ascii="仿宋" w:hAnsi="仿宋" w:eastAsia="仿宋" w:cs="仿宋"/>
                <w:sz w:val="24"/>
                <w:szCs w:val="24"/>
              </w:rPr>
            </w:pPr>
            <w:r>
              <w:rPr>
                <w:rFonts w:hint="eastAsia" w:ascii="仿宋" w:hAnsi="仿宋" w:eastAsia="仿宋" w:cs="仿宋"/>
                <w:sz w:val="24"/>
                <w:szCs w:val="24"/>
              </w:rPr>
              <w:t>备注：本清单控制价中的单价为完成清单及采购施工方案范围内所需的人工费、材料费、(不含桥架主材费)、检验检测费（如有）、设备费、机械费、管理费、利润、其它规费及税金（其中增值税税率为3%）、风险费、保险费、工程验收等费用。已考虑本工程所有责任、义务及不可抗力以外的风险因素等所发生的费用，除本工程合同约定外，投标人不得再向招标人主张任何其他费用和权利，其中桥架由招标人提供。</w:t>
            </w:r>
          </w:p>
        </w:tc>
      </w:tr>
      <w:tr w14:paraId="500A0688">
        <w:tblPrEx>
          <w:tblCellMar>
            <w:top w:w="0" w:type="dxa"/>
            <w:left w:w="108" w:type="dxa"/>
            <w:bottom w:w="0" w:type="dxa"/>
            <w:right w:w="108" w:type="dxa"/>
          </w:tblCellMar>
        </w:tblPrEx>
        <w:trPr>
          <w:trHeight w:val="882" w:hRule="atLeast"/>
        </w:trPr>
        <w:tc>
          <w:tcPr>
            <w:tcW w:w="5000" w:type="pct"/>
            <w:gridSpan w:val="6"/>
            <w:vMerge w:val="continue"/>
            <w:tcBorders>
              <w:top w:val="nil"/>
              <w:left w:val="nil"/>
              <w:bottom w:val="nil"/>
              <w:right w:val="nil"/>
            </w:tcBorders>
            <w:vAlign w:val="center"/>
          </w:tcPr>
          <w:p w14:paraId="3519EC36">
            <w:pPr>
              <w:adjustRightInd/>
              <w:snapToGrid/>
              <w:spacing w:after="0"/>
              <w:rPr>
                <w:rFonts w:hint="eastAsia" w:ascii="仿宋" w:hAnsi="仿宋" w:eastAsia="仿宋" w:cs="仿宋"/>
                <w:sz w:val="24"/>
                <w:szCs w:val="24"/>
              </w:rPr>
            </w:pPr>
          </w:p>
        </w:tc>
      </w:tr>
    </w:tbl>
    <w:p w14:paraId="464A79D0">
      <w:pPr>
        <w:tabs>
          <w:tab w:val="left" w:pos="265"/>
        </w:tabs>
        <w:rPr>
          <w:rFonts w:ascii="黑体" w:hAnsi="黑体" w:eastAsia="黑体" w:cs="Times New Roman"/>
          <w:sz w:val="32"/>
          <w:szCs w:val="32"/>
        </w:rPr>
      </w:pPr>
    </w:p>
    <w:p w14:paraId="424BD186">
      <w:pPr>
        <w:rPr>
          <w:rFonts w:ascii="Heiti SC Light" w:hAnsi="Arial" w:eastAsia="Heiti SC Light" w:cs="Heiti SC Light"/>
          <w:color w:val="000000"/>
          <w:kern w:val="1"/>
          <w:sz w:val="28"/>
          <w:szCs w:val="28"/>
        </w:rPr>
      </w:pPr>
    </w:p>
    <w:p w14:paraId="6C47064A">
      <w:pPr>
        <w:widowControl/>
        <w:jc w:val="left"/>
        <w:rPr>
          <w:rFonts w:ascii="仿宋" w:hAnsi="仿宋" w:eastAsia="仿宋" w:cs="仿宋"/>
          <w:kern w:val="1"/>
          <w:sz w:val="32"/>
          <w:szCs w:val="32"/>
        </w:rPr>
      </w:pPr>
    </w:p>
    <w:p w14:paraId="3476E54D">
      <w:pPr>
        <w:spacing w:before="100" w:beforeAutospacing="1" w:after="100" w:afterAutospacing="1" w:line="360" w:lineRule="auto"/>
        <w:jc w:val="left"/>
        <w:rPr>
          <w:rFonts w:ascii="仿宋" w:hAnsi="仿宋" w:eastAsia="仿宋" w:cs="仿宋"/>
          <w:kern w:val="1"/>
          <w:sz w:val="24"/>
          <w:szCs w:val="24"/>
        </w:rPr>
      </w:pPr>
      <w:r>
        <w:rPr>
          <w:rFonts w:hint="eastAsia" w:ascii="仿宋" w:hAnsi="仿宋" w:eastAsia="仿宋" w:cs="仿宋"/>
          <w:kern w:val="1"/>
        </w:rPr>
        <w:br w:type="page"/>
      </w:r>
    </w:p>
    <w:p w14:paraId="3F70999B">
      <w:pPr>
        <w:spacing w:before="100" w:beforeAutospacing="1" w:after="100" w:afterAutospacing="1" w:line="360" w:lineRule="auto"/>
        <w:jc w:val="center"/>
        <w:rPr>
          <w:rFonts w:ascii="仿宋" w:hAnsi="仿宋" w:eastAsia="仿宋"/>
          <w:sz w:val="28"/>
          <w:szCs w:val="28"/>
        </w:rPr>
      </w:pPr>
      <w:r>
        <w:rPr>
          <w:rFonts w:hint="eastAsia" w:ascii="仿宋" w:hAnsi="仿宋" w:eastAsia="仿宋"/>
          <w:sz w:val="28"/>
          <w:szCs w:val="28"/>
        </w:rPr>
        <w:t>在经营活动中无重大违法记录和行贿犯罪记录的承诺</w:t>
      </w:r>
    </w:p>
    <w:p w14:paraId="03AA01EB">
      <w:pPr>
        <w:spacing w:line="360" w:lineRule="auto"/>
        <w:jc w:val="center"/>
        <w:rPr>
          <w:rFonts w:ascii="仿宋" w:hAnsi="仿宋" w:eastAsia="仿宋"/>
          <w:sz w:val="24"/>
          <w:szCs w:val="24"/>
        </w:rPr>
      </w:pPr>
    </w:p>
    <w:p w14:paraId="1E77F13A">
      <w:pPr>
        <w:spacing w:line="360" w:lineRule="auto"/>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（项目名称）</w:t>
      </w:r>
      <w:r>
        <w:rPr>
          <w:rFonts w:hint="eastAsia" w:ascii="仿宋" w:hAnsi="仿宋" w:eastAsia="仿宋"/>
          <w:sz w:val="24"/>
          <w:szCs w:val="24"/>
        </w:rPr>
        <w:t>投标活动前</w:t>
      </w:r>
      <w:r>
        <w:rPr>
          <w:rFonts w:ascii="仿宋" w:hAnsi="仿宋" w:eastAsia="仿宋"/>
          <w:sz w:val="24"/>
          <w:szCs w:val="24"/>
        </w:rPr>
        <w:t>3</w:t>
      </w:r>
      <w:r>
        <w:rPr>
          <w:rFonts w:hint="eastAsia" w:ascii="仿宋" w:hAnsi="仿宋" w:eastAsia="仿宋"/>
          <w:sz w:val="24"/>
          <w:szCs w:val="24"/>
        </w:rPr>
        <w:t>年内，我方被公开披露或查处的违法违规行为有：，但在经营活动中：</w:t>
      </w:r>
    </w:p>
    <w:p w14:paraId="4193AE70">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、没有重大违法记录（重大违法记录指</w:t>
      </w:r>
      <w:r>
        <w:rPr>
          <w:rFonts w:hint="eastAsia" w:ascii="仿宋" w:hAnsi="仿宋" w:eastAsia="仿宋" w:cs="宋体"/>
          <w:kern w:val="0"/>
          <w:sz w:val="24"/>
          <w:szCs w:val="24"/>
        </w:rPr>
        <w:t>投标人因违法经营受到刑事处罚或者责令停产停业、吊销许可证或者执照、较大数额罚款等行政处罚）</w:t>
      </w:r>
      <w:r>
        <w:rPr>
          <w:rFonts w:hint="eastAsia" w:ascii="仿宋" w:hAnsi="仿宋" w:eastAsia="仿宋"/>
          <w:sz w:val="24"/>
          <w:szCs w:val="24"/>
        </w:rPr>
        <w:t>。</w:t>
      </w:r>
    </w:p>
    <w:p w14:paraId="7A56F623">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、没有行贿犯罪记录（查询内容：①供应商 、组织机构代码证或统一社会信用代码；②法定代表人、身份证号码；③项目负责人、身份证号码）。</w:t>
      </w:r>
    </w:p>
    <w:p w14:paraId="216273F7">
      <w:pPr>
        <w:spacing w:line="360" w:lineRule="auto"/>
        <w:ind w:firstLine="480" w:firstLineChars="200"/>
        <w:rPr>
          <w:rFonts w:ascii="仿宋" w:hAnsi="仿宋" w:eastAsia="仿宋"/>
          <w:sz w:val="24"/>
          <w:szCs w:val="24"/>
        </w:rPr>
      </w:pPr>
      <w:r>
        <w:rPr>
          <w:rFonts w:hint="eastAsia" w:ascii="仿宋" w:hAnsi="仿宋" w:eastAsia="仿宋"/>
          <w:sz w:val="24"/>
          <w:szCs w:val="24"/>
        </w:rPr>
        <w:t>以上承诺若与实际情况不符，我方自愿承担一切法律后果。</w:t>
      </w:r>
    </w:p>
    <w:p w14:paraId="2BD07FE0">
      <w:pPr>
        <w:spacing w:line="360" w:lineRule="auto"/>
        <w:ind w:firstLine="480" w:firstLineChars="200"/>
        <w:rPr>
          <w:rFonts w:ascii="仿宋" w:hAnsi="仿宋" w:eastAsia="仿宋"/>
          <w:sz w:val="24"/>
          <w:szCs w:val="24"/>
        </w:rPr>
      </w:pPr>
    </w:p>
    <w:p w14:paraId="6D59035D">
      <w:pPr>
        <w:spacing w:line="360" w:lineRule="auto"/>
        <w:ind w:firstLine="480" w:firstLineChars="200"/>
        <w:rPr>
          <w:rFonts w:ascii="仿宋" w:hAnsi="仿宋" w:eastAsia="仿宋"/>
          <w:sz w:val="24"/>
          <w:szCs w:val="24"/>
        </w:rPr>
      </w:pPr>
    </w:p>
    <w:p w14:paraId="4FE39F45">
      <w:pPr>
        <w:spacing w:line="360" w:lineRule="auto"/>
        <w:ind w:firstLine="360" w:firstLineChars="150"/>
        <w:rPr>
          <w:rFonts w:ascii="仿宋" w:hAnsi="仿宋" w:eastAsia="仿宋"/>
          <w:sz w:val="24"/>
          <w:szCs w:val="24"/>
        </w:rPr>
      </w:pPr>
      <w:r>
        <w:rPr>
          <w:rFonts w:hint="eastAsia" w:ascii="仿宋" w:hAnsi="仿宋" w:eastAsia="仿宋"/>
          <w:sz w:val="24"/>
          <w:szCs w:val="24"/>
        </w:rPr>
        <w:t>投标人：</w:t>
      </w:r>
      <w:r>
        <w:rPr>
          <w:rFonts w:hint="eastAsia" w:ascii="仿宋" w:hAnsi="仿宋" w:eastAsia="仿宋"/>
          <w:sz w:val="24"/>
          <w:szCs w:val="24"/>
          <w:u w:val="single"/>
        </w:rPr>
        <w:t xml:space="preserve">                      （公章）</w:t>
      </w:r>
    </w:p>
    <w:p w14:paraId="46340512">
      <w:pPr>
        <w:spacing w:line="360" w:lineRule="auto"/>
        <w:ind w:firstLine="360" w:firstLineChars="150"/>
        <w:rPr>
          <w:rFonts w:ascii="仿宋" w:hAnsi="仿宋" w:eastAsia="仿宋"/>
          <w:sz w:val="24"/>
          <w:szCs w:val="24"/>
        </w:rPr>
      </w:pPr>
      <w:r>
        <w:rPr>
          <w:rFonts w:hint="eastAsia" w:ascii="仿宋" w:hAnsi="仿宋" w:eastAsia="仿宋"/>
          <w:sz w:val="24"/>
          <w:szCs w:val="24"/>
        </w:rPr>
        <w:t>日期：    年  月  日</w:t>
      </w:r>
    </w:p>
    <w:p w14:paraId="7940AED5">
      <w:pPr>
        <w:spacing w:line="360" w:lineRule="auto"/>
        <w:rPr>
          <w:rFonts w:ascii="仿宋" w:hAnsi="仿宋" w:eastAsia="仿宋"/>
          <w:sz w:val="24"/>
          <w:szCs w:val="24"/>
        </w:rPr>
      </w:pPr>
    </w:p>
    <w:p w14:paraId="5FC10349">
      <w:pPr>
        <w:spacing w:line="360" w:lineRule="auto"/>
        <w:ind w:firstLine="480"/>
        <w:rPr>
          <w:rFonts w:ascii="仿宋" w:hAnsi="仿宋" w:eastAsia="仿宋"/>
          <w:sz w:val="24"/>
          <w:szCs w:val="24"/>
        </w:rPr>
      </w:pPr>
      <w:r>
        <w:rPr>
          <w:rFonts w:hint="eastAsia" w:ascii="仿宋" w:hAnsi="仿宋" w:eastAsia="仿宋"/>
          <w:sz w:val="24"/>
          <w:szCs w:val="24"/>
        </w:rPr>
        <w:t>备注：1.投标人没有被公开披露或查处违法违规行为的，注明“无”即可。</w:t>
      </w:r>
    </w:p>
    <w:p w14:paraId="6DAED382">
      <w:pPr>
        <w:spacing w:line="360" w:lineRule="auto"/>
        <w:ind w:firstLine="480"/>
        <w:rPr>
          <w:rFonts w:ascii="仿宋" w:hAnsi="仿宋" w:eastAsia="仿宋"/>
          <w:sz w:val="24"/>
          <w:szCs w:val="24"/>
        </w:rPr>
      </w:pPr>
      <w:r>
        <w:rPr>
          <w:rFonts w:hint="eastAsia" w:ascii="仿宋" w:hAnsi="仿宋" w:eastAsia="仿宋"/>
          <w:sz w:val="24"/>
          <w:szCs w:val="24"/>
        </w:rPr>
        <w:t xml:space="preserve">      2.招标文件未要求项目负责人的，项目负责人一栏可删除。</w:t>
      </w:r>
    </w:p>
    <w:p w14:paraId="73FD2041">
      <w:pPr>
        <w:widowControl/>
        <w:autoSpaceDE w:val="0"/>
        <w:autoSpaceDN w:val="0"/>
        <w:adjustRightInd w:val="0"/>
        <w:spacing w:line="360" w:lineRule="auto"/>
        <w:rPr>
          <w:rFonts w:ascii="仿宋" w:hAnsi="仿宋" w:eastAsia="仿宋"/>
          <w:kern w:val="1"/>
          <w:sz w:val="24"/>
          <w:szCs w:val="24"/>
        </w:rPr>
      </w:pPr>
    </w:p>
    <w:p w14:paraId="4E519325">
      <w:pPr>
        <w:widowControl/>
        <w:jc w:val="left"/>
        <w:rPr>
          <w:rFonts w:ascii="仿宋" w:hAnsi="仿宋" w:eastAsia="仿宋" w:cs="仿宋"/>
          <w:b/>
          <w:bCs/>
          <w:sz w:val="24"/>
          <w:szCs w:val="24"/>
        </w:rPr>
      </w:pPr>
      <w:r>
        <w:rPr>
          <w:rFonts w:ascii="仿宋" w:hAnsi="仿宋" w:eastAsia="仿宋" w:cs="仿宋"/>
          <w:b/>
          <w:bCs/>
          <w:sz w:val="24"/>
          <w:szCs w:val="24"/>
        </w:rPr>
        <w:br w:type="page"/>
      </w:r>
    </w:p>
    <w:p w14:paraId="0E4688F9">
      <w:pPr>
        <w:spacing w:line="440" w:lineRule="exact"/>
        <w:jc w:val="center"/>
        <w:rPr>
          <w:rFonts w:ascii="仿宋" w:hAnsi="仿宋" w:eastAsia="仿宋" w:cs="仿宋"/>
          <w:sz w:val="28"/>
          <w:szCs w:val="28"/>
        </w:rPr>
      </w:pPr>
      <w:bookmarkStart w:id="3" w:name="_Toc247527831"/>
      <w:bookmarkStart w:id="4" w:name="_Toc152045791"/>
      <w:bookmarkStart w:id="5" w:name="_Toc152042580"/>
      <w:bookmarkStart w:id="6" w:name="_Toc247514283"/>
      <w:bookmarkStart w:id="7" w:name="_Toc300835213"/>
      <w:bookmarkStart w:id="8" w:name="_Toc144974860"/>
      <w:r>
        <w:rPr>
          <w:rFonts w:hint="eastAsia" w:ascii="仿宋" w:hAnsi="仿宋" w:eastAsia="仿宋" w:cs="仿宋"/>
          <w:sz w:val="28"/>
          <w:szCs w:val="28"/>
        </w:rPr>
        <w:t>法定代表人身份证明</w:t>
      </w:r>
      <w:bookmarkEnd w:id="3"/>
      <w:bookmarkEnd w:id="4"/>
      <w:bookmarkEnd w:id="5"/>
      <w:bookmarkEnd w:id="6"/>
      <w:bookmarkEnd w:id="7"/>
      <w:bookmarkEnd w:id="8"/>
    </w:p>
    <w:p w14:paraId="310697AE">
      <w:pPr>
        <w:spacing w:line="440" w:lineRule="exact"/>
        <w:rPr>
          <w:rFonts w:ascii="仿宋" w:hAnsi="仿宋" w:eastAsia="仿宋" w:cs="仿宋"/>
          <w:sz w:val="20"/>
        </w:rPr>
      </w:pPr>
    </w:p>
    <w:p w14:paraId="23AC5DE9">
      <w:pPr>
        <w:spacing w:line="440" w:lineRule="exact"/>
        <w:rPr>
          <w:rFonts w:ascii="仿宋" w:hAnsi="仿宋" w:eastAsia="仿宋" w:cs="仿宋"/>
          <w:sz w:val="24"/>
          <w:szCs w:val="24"/>
        </w:rPr>
      </w:pPr>
    </w:p>
    <w:p w14:paraId="53CF1936">
      <w:pPr>
        <w:spacing w:line="440" w:lineRule="exact"/>
        <w:rPr>
          <w:rFonts w:ascii="仿宋" w:hAnsi="仿宋" w:eastAsia="仿宋" w:cs="仿宋"/>
          <w:sz w:val="24"/>
          <w:szCs w:val="24"/>
        </w:rPr>
      </w:pPr>
      <w:r>
        <w:rPr>
          <w:rFonts w:hint="eastAsia" w:ascii="仿宋" w:hAnsi="仿宋" w:eastAsia="仿宋" w:cs="仿宋"/>
          <w:sz w:val="24"/>
          <w:szCs w:val="24"/>
        </w:rPr>
        <w:t>投标人名称：</w:t>
      </w:r>
    </w:p>
    <w:p w14:paraId="4867B453">
      <w:pPr>
        <w:spacing w:line="440" w:lineRule="exact"/>
        <w:rPr>
          <w:rFonts w:ascii="仿宋" w:hAnsi="仿宋" w:eastAsia="仿宋" w:cs="仿宋"/>
          <w:sz w:val="24"/>
          <w:szCs w:val="24"/>
        </w:rPr>
      </w:pPr>
      <w:r>
        <w:rPr>
          <w:rFonts w:hint="eastAsia" w:ascii="仿宋" w:hAnsi="仿宋" w:eastAsia="仿宋" w:cs="仿宋"/>
          <w:sz w:val="24"/>
          <w:szCs w:val="24"/>
        </w:rPr>
        <w:t>单位性质：</w:t>
      </w:r>
    </w:p>
    <w:p w14:paraId="2096E655">
      <w:pPr>
        <w:spacing w:line="440" w:lineRule="exact"/>
        <w:rPr>
          <w:rFonts w:ascii="仿宋" w:hAnsi="仿宋" w:eastAsia="仿宋" w:cs="仿宋"/>
          <w:sz w:val="24"/>
          <w:szCs w:val="24"/>
        </w:rPr>
      </w:pPr>
      <w:r>
        <w:rPr>
          <w:rFonts w:hint="eastAsia" w:ascii="仿宋" w:hAnsi="仿宋" w:eastAsia="仿宋" w:cs="仿宋"/>
          <w:sz w:val="24"/>
          <w:szCs w:val="24"/>
        </w:rPr>
        <w:t>地址：</w:t>
      </w:r>
    </w:p>
    <w:p w14:paraId="180922B0">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14:paraId="292FB5CD">
      <w:pPr>
        <w:spacing w:line="440" w:lineRule="exact"/>
        <w:rPr>
          <w:rFonts w:ascii="仿宋" w:hAnsi="仿宋" w:eastAsia="仿宋" w:cs="仿宋"/>
          <w:sz w:val="24"/>
          <w:szCs w:val="24"/>
        </w:rPr>
      </w:pPr>
      <w:r>
        <w:rPr>
          <w:rFonts w:hint="eastAsia" w:ascii="仿宋" w:hAnsi="仿宋" w:eastAsia="仿宋" w:cs="仿宋"/>
          <w:sz w:val="24"/>
          <w:szCs w:val="24"/>
        </w:rPr>
        <w:t>经营期限：</w:t>
      </w:r>
    </w:p>
    <w:p w14:paraId="2CF8AF96">
      <w:pPr>
        <w:spacing w:line="440" w:lineRule="exact"/>
        <w:rPr>
          <w:rFonts w:ascii="仿宋" w:hAnsi="仿宋" w:eastAsia="仿宋" w:cs="仿宋"/>
          <w:sz w:val="24"/>
          <w:szCs w:val="24"/>
        </w:rPr>
      </w:pPr>
    </w:p>
    <w:p w14:paraId="0EEC6151">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14:paraId="25B1EF7C">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14:paraId="23ECF1C7">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10147188">
      <w:pPr>
        <w:spacing w:line="440" w:lineRule="exact"/>
        <w:rPr>
          <w:rFonts w:ascii="仿宋" w:hAnsi="仿宋" w:eastAsia="仿宋" w:cs="仿宋"/>
          <w:sz w:val="24"/>
          <w:szCs w:val="24"/>
        </w:rPr>
      </w:pPr>
    </w:p>
    <w:p w14:paraId="78F95950">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14:paraId="3CF88D0C">
      <w:pPr>
        <w:spacing w:line="440" w:lineRule="exact"/>
        <w:rPr>
          <w:rFonts w:ascii="仿宋" w:hAnsi="仿宋" w:eastAsia="仿宋" w:cs="仿宋"/>
          <w:sz w:val="24"/>
          <w:szCs w:val="24"/>
        </w:rPr>
      </w:pPr>
    </w:p>
    <w:p w14:paraId="7C42AE62">
      <w:pPr>
        <w:spacing w:line="440" w:lineRule="exact"/>
        <w:rPr>
          <w:rFonts w:ascii="仿宋" w:hAnsi="仿宋" w:eastAsia="仿宋" w:cs="仿宋"/>
          <w:sz w:val="24"/>
          <w:szCs w:val="24"/>
        </w:rPr>
      </w:pPr>
    </w:p>
    <w:p w14:paraId="799670B5">
      <w:pPr>
        <w:spacing w:line="440" w:lineRule="exact"/>
        <w:rPr>
          <w:rFonts w:ascii="仿宋" w:hAnsi="仿宋" w:eastAsia="仿宋" w:cs="仿宋"/>
          <w:sz w:val="24"/>
          <w:szCs w:val="24"/>
        </w:rPr>
      </w:pPr>
    </w:p>
    <w:p w14:paraId="69F6828B">
      <w:pPr>
        <w:spacing w:line="440" w:lineRule="exact"/>
        <w:rPr>
          <w:rFonts w:ascii="仿宋" w:hAnsi="仿宋" w:eastAsia="仿宋" w:cs="仿宋"/>
          <w:sz w:val="24"/>
          <w:szCs w:val="24"/>
        </w:rPr>
      </w:pPr>
    </w:p>
    <w:p w14:paraId="5998CDE5">
      <w:pPr>
        <w:spacing w:line="440" w:lineRule="exact"/>
        <w:rPr>
          <w:rFonts w:ascii="仿宋" w:hAnsi="仿宋" w:eastAsia="仿宋" w:cs="仿宋"/>
          <w:sz w:val="24"/>
          <w:szCs w:val="24"/>
        </w:rPr>
      </w:pPr>
    </w:p>
    <w:p w14:paraId="4472109F">
      <w:pPr>
        <w:spacing w:line="440" w:lineRule="exact"/>
        <w:rPr>
          <w:rFonts w:ascii="仿宋" w:hAnsi="仿宋" w:eastAsia="仿宋" w:cs="仿宋"/>
          <w:sz w:val="24"/>
          <w:szCs w:val="24"/>
        </w:rPr>
      </w:pPr>
    </w:p>
    <w:p w14:paraId="76AAD14C">
      <w:pPr>
        <w:spacing w:line="440" w:lineRule="exact"/>
        <w:rPr>
          <w:rFonts w:ascii="仿宋" w:hAnsi="仿宋" w:eastAsia="仿宋" w:cs="仿宋"/>
          <w:sz w:val="24"/>
          <w:szCs w:val="24"/>
        </w:rPr>
      </w:pPr>
    </w:p>
    <w:p w14:paraId="57E96024">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14:paraId="2CA0B158">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14:paraId="6732C34F">
      <w:pPr>
        <w:widowControl/>
        <w:autoSpaceDE w:val="0"/>
        <w:autoSpaceDN w:val="0"/>
        <w:adjustRightInd w:val="0"/>
        <w:spacing w:line="460" w:lineRule="exact"/>
        <w:rPr>
          <w:rStyle w:val="50"/>
          <w:rFonts w:cs="仿宋"/>
          <w:sz w:val="24"/>
          <w:szCs w:val="24"/>
        </w:rPr>
      </w:pPr>
      <w:r>
        <w:rPr>
          <w:rStyle w:val="50"/>
          <w:rFonts w:hint="eastAsia" w:cs="仿宋"/>
          <w:sz w:val="24"/>
          <w:szCs w:val="24"/>
        </w:rPr>
        <w:br w:type="page"/>
      </w:r>
    </w:p>
    <w:p w14:paraId="7B3290A5">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14:paraId="5EB9FCFA">
      <w:pPr>
        <w:widowControl/>
        <w:autoSpaceDE w:val="0"/>
        <w:autoSpaceDN w:val="0"/>
        <w:adjustRightInd w:val="0"/>
        <w:spacing w:line="360" w:lineRule="auto"/>
        <w:rPr>
          <w:rFonts w:ascii="仿宋" w:hAnsi="仿宋" w:eastAsia="仿宋" w:cs="仿宋"/>
          <w:kern w:val="1"/>
          <w:sz w:val="24"/>
          <w:szCs w:val="24"/>
        </w:rPr>
      </w:pPr>
    </w:p>
    <w:p w14:paraId="60FD7A4E">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50"/>
          <w:rFonts w:hint="eastAsia" w:cs="仿宋"/>
          <w:sz w:val="24"/>
          <w:szCs w:val="24"/>
        </w:rPr>
        <w:t>：</w:t>
      </w:r>
    </w:p>
    <w:p w14:paraId="22EA93A9">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我</w:t>
      </w:r>
      <w:r>
        <w:rPr>
          <w:rFonts w:hint="eastAsia" w:ascii="仿宋" w:hAnsi="仿宋" w:eastAsia="仿宋" w:cs="仿宋"/>
          <w:kern w:val="1"/>
          <w:sz w:val="24"/>
          <w:szCs w:val="24"/>
          <w:u w:val="single"/>
        </w:rPr>
        <w:t xml:space="preserve">   （姓名） </w:t>
      </w:r>
      <w:r>
        <w:rPr>
          <w:rStyle w:val="50"/>
          <w:rFonts w:hint="eastAsia" w:cs="仿宋"/>
          <w:sz w:val="24"/>
          <w:szCs w:val="24"/>
        </w:rPr>
        <w:t>系</w:t>
      </w:r>
      <w:r>
        <w:rPr>
          <w:rFonts w:hint="eastAsia" w:ascii="仿宋" w:hAnsi="仿宋" w:eastAsia="仿宋" w:cs="仿宋"/>
          <w:kern w:val="1"/>
          <w:sz w:val="24"/>
          <w:szCs w:val="24"/>
          <w:u w:val="single"/>
        </w:rPr>
        <w:t xml:space="preserve">    （投标人名称）</w:t>
      </w:r>
      <w:r>
        <w:rPr>
          <w:rStyle w:val="50"/>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50"/>
          <w:rFonts w:hint="eastAsia" w:cs="仿宋"/>
          <w:sz w:val="24"/>
          <w:szCs w:val="24"/>
        </w:rPr>
        <w:t>为我公司本次项目的授权代表，代表我方办理本次投标、签约等相关事宜，签署全部有关的文件、协议、合同并具有法律效力。</w:t>
      </w:r>
    </w:p>
    <w:p w14:paraId="5FFA66A9">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在我方未发出撤销授权委托书的书面通知以前，本授权委托书一直有效。被授权人签署的所有文件（在授权书有效期内签署的）不因授权撤销而失效。</w:t>
      </w:r>
    </w:p>
    <w:p w14:paraId="121F625C">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被授权代表无权转让委托权。特此授权。</w:t>
      </w:r>
    </w:p>
    <w:p w14:paraId="78AB7086">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本授权委托书于  年  月  日起签字生效,特此声明。</w:t>
      </w:r>
    </w:p>
    <w:p w14:paraId="79C0371F">
      <w:pPr>
        <w:widowControl/>
        <w:autoSpaceDE w:val="0"/>
        <w:autoSpaceDN w:val="0"/>
        <w:adjustRightInd w:val="0"/>
        <w:spacing w:line="360" w:lineRule="auto"/>
        <w:rPr>
          <w:rFonts w:ascii="仿宋" w:hAnsi="仿宋" w:eastAsia="仿宋" w:cs="仿宋"/>
          <w:kern w:val="1"/>
          <w:sz w:val="24"/>
          <w:szCs w:val="24"/>
        </w:rPr>
      </w:pPr>
    </w:p>
    <w:p w14:paraId="2B536DE9">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0A61337D">
      <w:pPr>
        <w:widowControl/>
        <w:autoSpaceDE w:val="0"/>
        <w:autoSpaceDN w:val="0"/>
        <w:adjustRightInd w:val="0"/>
        <w:spacing w:line="360" w:lineRule="auto"/>
        <w:ind w:right="-481"/>
        <w:jc w:val="center"/>
        <w:rPr>
          <w:rFonts w:ascii="仿宋" w:hAnsi="仿宋" w:eastAsia="仿宋" w:cs="仿宋"/>
          <w:kern w:val="1"/>
          <w:sz w:val="24"/>
          <w:szCs w:val="24"/>
        </w:rPr>
      </w:pPr>
    </w:p>
    <w:p w14:paraId="34BE5252">
      <w:pPr>
        <w:widowControl/>
        <w:autoSpaceDE w:val="0"/>
        <w:autoSpaceDN w:val="0"/>
        <w:adjustRightInd w:val="0"/>
        <w:spacing w:line="360" w:lineRule="auto"/>
        <w:ind w:right="-481"/>
        <w:jc w:val="center"/>
        <w:rPr>
          <w:rFonts w:ascii="仿宋" w:hAnsi="仿宋" w:eastAsia="仿宋" w:cs="仿宋"/>
          <w:kern w:val="1"/>
          <w:sz w:val="24"/>
          <w:szCs w:val="24"/>
        </w:rPr>
      </w:pPr>
    </w:p>
    <w:p w14:paraId="6424FE75">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被授权代表姓名：             性 别：              年 龄：</w:t>
      </w:r>
    </w:p>
    <w:p w14:paraId="6411FAE6">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单  位：                     部 门：              职 务：</w:t>
      </w:r>
    </w:p>
    <w:p w14:paraId="25B238CA">
      <w:pPr>
        <w:widowControl/>
        <w:autoSpaceDE w:val="0"/>
        <w:autoSpaceDN w:val="0"/>
        <w:adjustRightInd w:val="0"/>
        <w:spacing w:line="360" w:lineRule="auto"/>
        <w:ind w:right="-481"/>
        <w:rPr>
          <w:rFonts w:ascii="仿宋" w:hAnsi="仿宋" w:eastAsia="仿宋" w:cs="仿宋"/>
          <w:kern w:val="1"/>
          <w:sz w:val="24"/>
          <w:szCs w:val="24"/>
        </w:rPr>
      </w:pPr>
    </w:p>
    <w:p w14:paraId="70B45D70">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投标人（公章）：</w:t>
      </w:r>
    </w:p>
    <w:p w14:paraId="60EEAD84">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法定代表人（签字）：</w:t>
      </w:r>
    </w:p>
    <w:p w14:paraId="71139D8B">
      <w:pPr>
        <w:widowControl/>
        <w:autoSpaceDE w:val="0"/>
        <w:autoSpaceDN w:val="0"/>
        <w:adjustRightInd w:val="0"/>
        <w:ind w:right="-481" w:firstLine="5400"/>
        <w:rPr>
          <w:rStyle w:val="50"/>
          <w:rFonts w:cs="仿宋"/>
          <w:sz w:val="24"/>
          <w:szCs w:val="24"/>
        </w:rPr>
      </w:pPr>
    </w:p>
    <w:p w14:paraId="27CCEA4F">
      <w:pPr>
        <w:widowControl/>
        <w:autoSpaceDE w:val="0"/>
        <w:autoSpaceDN w:val="0"/>
        <w:adjustRightInd w:val="0"/>
        <w:ind w:right="-481" w:firstLine="5400"/>
        <w:rPr>
          <w:rStyle w:val="50"/>
          <w:rFonts w:cs="仿宋"/>
          <w:sz w:val="24"/>
          <w:szCs w:val="24"/>
        </w:rPr>
      </w:pPr>
      <w:r>
        <w:rPr>
          <w:rStyle w:val="50"/>
          <w:rFonts w:hint="eastAsia" w:cs="仿宋"/>
          <w:sz w:val="24"/>
          <w:szCs w:val="24"/>
        </w:rPr>
        <w:t>日 期：      年   月   日</w:t>
      </w:r>
    </w:p>
    <w:p w14:paraId="395DEC5D">
      <w:pPr>
        <w:widowControl/>
        <w:autoSpaceDE w:val="0"/>
        <w:autoSpaceDN w:val="0"/>
        <w:adjustRightInd w:val="0"/>
        <w:spacing w:line="360" w:lineRule="auto"/>
        <w:ind w:right="-481"/>
        <w:jc w:val="both"/>
        <w:rPr>
          <w:rFonts w:ascii="仿宋" w:hAnsi="仿宋" w:eastAsia="仿宋" w:cs="仿宋"/>
          <w:color w:val="000000"/>
          <w:szCs w:val="21"/>
        </w:rPr>
      </w:pPr>
      <w:bookmarkStart w:id="9" w:name="_GoBack"/>
      <w:bookmarkEnd w:id="9"/>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07D4">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33</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YxYTdhZTcyYjMyZTdhYzVkYzFmZDE0YjY3NWZjODEifQ=="/>
  </w:docVars>
  <w:rsids>
    <w:rsidRoot w:val="002A068C"/>
    <w:rsid w:val="0000478F"/>
    <w:rsid w:val="0001067B"/>
    <w:rsid w:val="00016585"/>
    <w:rsid w:val="00020861"/>
    <w:rsid w:val="00022F25"/>
    <w:rsid w:val="0002457D"/>
    <w:rsid w:val="000272D3"/>
    <w:rsid w:val="000302F9"/>
    <w:rsid w:val="0003608C"/>
    <w:rsid w:val="000367E1"/>
    <w:rsid w:val="00036A1C"/>
    <w:rsid w:val="00042AF5"/>
    <w:rsid w:val="00042F12"/>
    <w:rsid w:val="00043B5D"/>
    <w:rsid w:val="000447B7"/>
    <w:rsid w:val="0004725B"/>
    <w:rsid w:val="00052072"/>
    <w:rsid w:val="000526A9"/>
    <w:rsid w:val="00053DEA"/>
    <w:rsid w:val="000545F4"/>
    <w:rsid w:val="00054E4D"/>
    <w:rsid w:val="000552F1"/>
    <w:rsid w:val="000560F0"/>
    <w:rsid w:val="000607C6"/>
    <w:rsid w:val="000627FC"/>
    <w:rsid w:val="000674C9"/>
    <w:rsid w:val="00072639"/>
    <w:rsid w:val="00072DDA"/>
    <w:rsid w:val="00075401"/>
    <w:rsid w:val="000770B1"/>
    <w:rsid w:val="00081413"/>
    <w:rsid w:val="000838DA"/>
    <w:rsid w:val="00084918"/>
    <w:rsid w:val="00085909"/>
    <w:rsid w:val="0008678E"/>
    <w:rsid w:val="00090FB0"/>
    <w:rsid w:val="0009478B"/>
    <w:rsid w:val="0009523B"/>
    <w:rsid w:val="00095E5A"/>
    <w:rsid w:val="000968D0"/>
    <w:rsid w:val="00097584"/>
    <w:rsid w:val="000976AF"/>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3D2D"/>
    <w:rsid w:val="00117EC2"/>
    <w:rsid w:val="00122943"/>
    <w:rsid w:val="001240AA"/>
    <w:rsid w:val="0012476C"/>
    <w:rsid w:val="00127F61"/>
    <w:rsid w:val="00131764"/>
    <w:rsid w:val="00131E20"/>
    <w:rsid w:val="00132F5D"/>
    <w:rsid w:val="00133AFA"/>
    <w:rsid w:val="00133E04"/>
    <w:rsid w:val="00134134"/>
    <w:rsid w:val="00136D33"/>
    <w:rsid w:val="0013735F"/>
    <w:rsid w:val="001404D8"/>
    <w:rsid w:val="00145BB9"/>
    <w:rsid w:val="001513AC"/>
    <w:rsid w:val="00151902"/>
    <w:rsid w:val="00152BDF"/>
    <w:rsid w:val="0015616C"/>
    <w:rsid w:val="001603D5"/>
    <w:rsid w:val="001728A5"/>
    <w:rsid w:val="00175403"/>
    <w:rsid w:val="00182DA6"/>
    <w:rsid w:val="00185BF5"/>
    <w:rsid w:val="00192766"/>
    <w:rsid w:val="00192C98"/>
    <w:rsid w:val="00196957"/>
    <w:rsid w:val="001A541C"/>
    <w:rsid w:val="001A5C43"/>
    <w:rsid w:val="001A66DB"/>
    <w:rsid w:val="001B1D52"/>
    <w:rsid w:val="001B3C10"/>
    <w:rsid w:val="001B7DF1"/>
    <w:rsid w:val="001C071B"/>
    <w:rsid w:val="001C0D47"/>
    <w:rsid w:val="001C1352"/>
    <w:rsid w:val="001C1C78"/>
    <w:rsid w:val="001C381E"/>
    <w:rsid w:val="001D425F"/>
    <w:rsid w:val="001D524E"/>
    <w:rsid w:val="001D5B64"/>
    <w:rsid w:val="001E0D2C"/>
    <w:rsid w:val="001E26D1"/>
    <w:rsid w:val="001E2AB1"/>
    <w:rsid w:val="001E6C66"/>
    <w:rsid w:val="001E7665"/>
    <w:rsid w:val="001F00DE"/>
    <w:rsid w:val="001F3657"/>
    <w:rsid w:val="001F3B6A"/>
    <w:rsid w:val="001F542A"/>
    <w:rsid w:val="001F61EF"/>
    <w:rsid w:val="001F6BF0"/>
    <w:rsid w:val="001F71A8"/>
    <w:rsid w:val="002003F2"/>
    <w:rsid w:val="00202D04"/>
    <w:rsid w:val="002033EC"/>
    <w:rsid w:val="00205D69"/>
    <w:rsid w:val="00207A4A"/>
    <w:rsid w:val="002108AF"/>
    <w:rsid w:val="00211AEE"/>
    <w:rsid w:val="00213C9F"/>
    <w:rsid w:val="002160EE"/>
    <w:rsid w:val="00220411"/>
    <w:rsid w:val="0022191D"/>
    <w:rsid w:val="0022466F"/>
    <w:rsid w:val="00224AC5"/>
    <w:rsid w:val="0022752C"/>
    <w:rsid w:val="0023067C"/>
    <w:rsid w:val="00232F05"/>
    <w:rsid w:val="0023595D"/>
    <w:rsid w:val="00237516"/>
    <w:rsid w:val="00240A94"/>
    <w:rsid w:val="00242804"/>
    <w:rsid w:val="00243D2B"/>
    <w:rsid w:val="002536B7"/>
    <w:rsid w:val="00260811"/>
    <w:rsid w:val="002618C8"/>
    <w:rsid w:val="00262280"/>
    <w:rsid w:val="00262C3D"/>
    <w:rsid w:val="00263EE8"/>
    <w:rsid w:val="00264766"/>
    <w:rsid w:val="00273059"/>
    <w:rsid w:val="00276E15"/>
    <w:rsid w:val="00277738"/>
    <w:rsid w:val="00283CCD"/>
    <w:rsid w:val="00283FAD"/>
    <w:rsid w:val="002845EA"/>
    <w:rsid w:val="002853B0"/>
    <w:rsid w:val="002860EF"/>
    <w:rsid w:val="00286D81"/>
    <w:rsid w:val="002903EF"/>
    <w:rsid w:val="0029173B"/>
    <w:rsid w:val="00291C0F"/>
    <w:rsid w:val="00292E7C"/>
    <w:rsid w:val="00293F02"/>
    <w:rsid w:val="00294078"/>
    <w:rsid w:val="00295ABA"/>
    <w:rsid w:val="00295FA6"/>
    <w:rsid w:val="00296ED2"/>
    <w:rsid w:val="00297F6C"/>
    <w:rsid w:val="002A068C"/>
    <w:rsid w:val="002A1C3E"/>
    <w:rsid w:val="002A29AF"/>
    <w:rsid w:val="002A3AFF"/>
    <w:rsid w:val="002A7FBD"/>
    <w:rsid w:val="002B0079"/>
    <w:rsid w:val="002B018B"/>
    <w:rsid w:val="002B0E43"/>
    <w:rsid w:val="002B346F"/>
    <w:rsid w:val="002B5952"/>
    <w:rsid w:val="002B7D8D"/>
    <w:rsid w:val="002C2504"/>
    <w:rsid w:val="002C6D83"/>
    <w:rsid w:val="002D09AD"/>
    <w:rsid w:val="002D1DD5"/>
    <w:rsid w:val="002D200F"/>
    <w:rsid w:val="002D219D"/>
    <w:rsid w:val="002E1009"/>
    <w:rsid w:val="002E1773"/>
    <w:rsid w:val="002E1C7F"/>
    <w:rsid w:val="002E6073"/>
    <w:rsid w:val="002F33A1"/>
    <w:rsid w:val="002F660C"/>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5BEE"/>
    <w:rsid w:val="003D630F"/>
    <w:rsid w:val="003D7657"/>
    <w:rsid w:val="003D76E8"/>
    <w:rsid w:val="003E0E26"/>
    <w:rsid w:val="003E2E90"/>
    <w:rsid w:val="003E3685"/>
    <w:rsid w:val="003F031B"/>
    <w:rsid w:val="003F12B4"/>
    <w:rsid w:val="003F20C7"/>
    <w:rsid w:val="003F257E"/>
    <w:rsid w:val="00400F47"/>
    <w:rsid w:val="00402253"/>
    <w:rsid w:val="00404B21"/>
    <w:rsid w:val="004151AA"/>
    <w:rsid w:val="004257AD"/>
    <w:rsid w:val="0043008D"/>
    <w:rsid w:val="00432FB1"/>
    <w:rsid w:val="004359BE"/>
    <w:rsid w:val="00440639"/>
    <w:rsid w:val="00441E4E"/>
    <w:rsid w:val="00452D79"/>
    <w:rsid w:val="00453AB1"/>
    <w:rsid w:val="004630EE"/>
    <w:rsid w:val="00467E31"/>
    <w:rsid w:val="00467FD7"/>
    <w:rsid w:val="00470932"/>
    <w:rsid w:val="00472C74"/>
    <w:rsid w:val="00473D19"/>
    <w:rsid w:val="004744E5"/>
    <w:rsid w:val="00474913"/>
    <w:rsid w:val="00474B72"/>
    <w:rsid w:val="004779E6"/>
    <w:rsid w:val="00480F22"/>
    <w:rsid w:val="00483015"/>
    <w:rsid w:val="00484384"/>
    <w:rsid w:val="00487E08"/>
    <w:rsid w:val="0049087C"/>
    <w:rsid w:val="00491795"/>
    <w:rsid w:val="00493872"/>
    <w:rsid w:val="00493BE4"/>
    <w:rsid w:val="004A08F9"/>
    <w:rsid w:val="004A1B73"/>
    <w:rsid w:val="004A3710"/>
    <w:rsid w:val="004A5841"/>
    <w:rsid w:val="004A5BAF"/>
    <w:rsid w:val="004A641A"/>
    <w:rsid w:val="004B4900"/>
    <w:rsid w:val="004B742C"/>
    <w:rsid w:val="004C00B5"/>
    <w:rsid w:val="004C3BB2"/>
    <w:rsid w:val="004C7D6E"/>
    <w:rsid w:val="004D3BB6"/>
    <w:rsid w:val="004D424D"/>
    <w:rsid w:val="004D670A"/>
    <w:rsid w:val="004D7CB1"/>
    <w:rsid w:val="004E1656"/>
    <w:rsid w:val="004F0787"/>
    <w:rsid w:val="004F2C4F"/>
    <w:rsid w:val="004F3872"/>
    <w:rsid w:val="004F6B1C"/>
    <w:rsid w:val="005021FA"/>
    <w:rsid w:val="005048B8"/>
    <w:rsid w:val="00504BE3"/>
    <w:rsid w:val="00504C34"/>
    <w:rsid w:val="00515EE0"/>
    <w:rsid w:val="0052053B"/>
    <w:rsid w:val="005214C3"/>
    <w:rsid w:val="005239D5"/>
    <w:rsid w:val="00523E66"/>
    <w:rsid w:val="0052406E"/>
    <w:rsid w:val="00525736"/>
    <w:rsid w:val="00537B86"/>
    <w:rsid w:val="00540075"/>
    <w:rsid w:val="005412D5"/>
    <w:rsid w:val="00541D3D"/>
    <w:rsid w:val="0054260D"/>
    <w:rsid w:val="00544E15"/>
    <w:rsid w:val="00544E2E"/>
    <w:rsid w:val="00546F1A"/>
    <w:rsid w:val="0054707D"/>
    <w:rsid w:val="005513A8"/>
    <w:rsid w:val="00552B20"/>
    <w:rsid w:val="00554FF3"/>
    <w:rsid w:val="005551E7"/>
    <w:rsid w:val="005568E3"/>
    <w:rsid w:val="0055718F"/>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2BC8"/>
    <w:rsid w:val="005C4F59"/>
    <w:rsid w:val="005C50CD"/>
    <w:rsid w:val="005D035A"/>
    <w:rsid w:val="005D2741"/>
    <w:rsid w:val="005D2F66"/>
    <w:rsid w:val="005D4819"/>
    <w:rsid w:val="005D4B98"/>
    <w:rsid w:val="005D5CB6"/>
    <w:rsid w:val="005D615E"/>
    <w:rsid w:val="005E267C"/>
    <w:rsid w:val="005E346F"/>
    <w:rsid w:val="005E42AE"/>
    <w:rsid w:val="005E5378"/>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5009C"/>
    <w:rsid w:val="00654F08"/>
    <w:rsid w:val="0065773D"/>
    <w:rsid w:val="006579B9"/>
    <w:rsid w:val="006602F2"/>
    <w:rsid w:val="006626EF"/>
    <w:rsid w:val="0066419D"/>
    <w:rsid w:val="00671F7C"/>
    <w:rsid w:val="00674656"/>
    <w:rsid w:val="00676C80"/>
    <w:rsid w:val="006818C9"/>
    <w:rsid w:val="006879C7"/>
    <w:rsid w:val="00693E51"/>
    <w:rsid w:val="0069566F"/>
    <w:rsid w:val="00695B00"/>
    <w:rsid w:val="00697E94"/>
    <w:rsid w:val="00697F39"/>
    <w:rsid w:val="006A2250"/>
    <w:rsid w:val="006A5798"/>
    <w:rsid w:val="006A7443"/>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4F29"/>
    <w:rsid w:val="006E522C"/>
    <w:rsid w:val="006E53F9"/>
    <w:rsid w:val="006F0113"/>
    <w:rsid w:val="006F0BE1"/>
    <w:rsid w:val="006F1896"/>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5DF"/>
    <w:rsid w:val="007313BC"/>
    <w:rsid w:val="0073191D"/>
    <w:rsid w:val="00732220"/>
    <w:rsid w:val="00732EBB"/>
    <w:rsid w:val="007346B7"/>
    <w:rsid w:val="00735862"/>
    <w:rsid w:val="007374FD"/>
    <w:rsid w:val="0074009B"/>
    <w:rsid w:val="00741918"/>
    <w:rsid w:val="007424EF"/>
    <w:rsid w:val="007433AB"/>
    <w:rsid w:val="007458B1"/>
    <w:rsid w:val="007458C0"/>
    <w:rsid w:val="007474A8"/>
    <w:rsid w:val="00753EF1"/>
    <w:rsid w:val="007608CF"/>
    <w:rsid w:val="00761EF6"/>
    <w:rsid w:val="00762CC6"/>
    <w:rsid w:val="00766570"/>
    <w:rsid w:val="0076760C"/>
    <w:rsid w:val="007728DD"/>
    <w:rsid w:val="00776BA0"/>
    <w:rsid w:val="00777632"/>
    <w:rsid w:val="00781D3E"/>
    <w:rsid w:val="00781E18"/>
    <w:rsid w:val="00784B7A"/>
    <w:rsid w:val="007862E0"/>
    <w:rsid w:val="0078632B"/>
    <w:rsid w:val="0078781C"/>
    <w:rsid w:val="0079049E"/>
    <w:rsid w:val="00792235"/>
    <w:rsid w:val="00796013"/>
    <w:rsid w:val="007A0A74"/>
    <w:rsid w:val="007A3ACE"/>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1E5D"/>
    <w:rsid w:val="00802D58"/>
    <w:rsid w:val="00806EE2"/>
    <w:rsid w:val="00806F5F"/>
    <w:rsid w:val="00807F75"/>
    <w:rsid w:val="0081264D"/>
    <w:rsid w:val="00816BF1"/>
    <w:rsid w:val="00817B5A"/>
    <w:rsid w:val="00817DC5"/>
    <w:rsid w:val="00820BD9"/>
    <w:rsid w:val="00823F49"/>
    <w:rsid w:val="0082492A"/>
    <w:rsid w:val="008263E5"/>
    <w:rsid w:val="0082683A"/>
    <w:rsid w:val="00832346"/>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77B65"/>
    <w:rsid w:val="00881009"/>
    <w:rsid w:val="00881F42"/>
    <w:rsid w:val="00882112"/>
    <w:rsid w:val="00884A34"/>
    <w:rsid w:val="00884C58"/>
    <w:rsid w:val="00895112"/>
    <w:rsid w:val="00896052"/>
    <w:rsid w:val="00896E79"/>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7B1"/>
    <w:rsid w:val="008D4C70"/>
    <w:rsid w:val="008E1128"/>
    <w:rsid w:val="008E2A10"/>
    <w:rsid w:val="008E66A9"/>
    <w:rsid w:val="008E76A8"/>
    <w:rsid w:val="008F3E4A"/>
    <w:rsid w:val="008F44A1"/>
    <w:rsid w:val="008F50F1"/>
    <w:rsid w:val="008F54BE"/>
    <w:rsid w:val="008F56A9"/>
    <w:rsid w:val="00900D71"/>
    <w:rsid w:val="009047C5"/>
    <w:rsid w:val="00905678"/>
    <w:rsid w:val="009066C2"/>
    <w:rsid w:val="00906B22"/>
    <w:rsid w:val="00906B60"/>
    <w:rsid w:val="0091264D"/>
    <w:rsid w:val="00912F50"/>
    <w:rsid w:val="00913BB9"/>
    <w:rsid w:val="009154F2"/>
    <w:rsid w:val="00916614"/>
    <w:rsid w:val="00921F7A"/>
    <w:rsid w:val="00925CCF"/>
    <w:rsid w:val="009276F6"/>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76729"/>
    <w:rsid w:val="00982ABC"/>
    <w:rsid w:val="0098536E"/>
    <w:rsid w:val="00987EE0"/>
    <w:rsid w:val="00994A7D"/>
    <w:rsid w:val="0099591F"/>
    <w:rsid w:val="009A18F2"/>
    <w:rsid w:val="009A19EE"/>
    <w:rsid w:val="009A1E9A"/>
    <w:rsid w:val="009A4B15"/>
    <w:rsid w:val="009A6353"/>
    <w:rsid w:val="009B18AC"/>
    <w:rsid w:val="009B19DD"/>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A01325"/>
    <w:rsid w:val="00A015EC"/>
    <w:rsid w:val="00A017D5"/>
    <w:rsid w:val="00A02866"/>
    <w:rsid w:val="00A03B78"/>
    <w:rsid w:val="00A044FC"/>
    <w:rsid w:val="00A1303E"/>
    <w:rsid w:val="00A302F6"/>
    <w:rsid w:val="00A309C7"/>
    <w:rsid w:val="00A37A91"/>
    <w:rsid w:val="00A37D55"/>
    <w:rsid w:val="00A41A1E"/>
    <w:rsid w:val="00A420E8"/>
    <w:rsid w:val="00A43E34"/>
    <w:rsid w:val="00A46AB4"/>
    <w:rsid w:val="00A50087"/>
    <w:rsid w:val="00A61CF9"/>
    <w:rsid w:val="00A63E21"/>
    <w:rsid w:val="00A65D51"/>
    <w:rsid w:val="00A660C6"/>
    <w:rsid w:val="00A705F5"/>
    <w:rsid w:val="00A73160"/>
    <w:rsid w:val="00A7468D"/>
    <w:rsid w:val="00A769FA"/>
    <w:rsid w:val="00A827F9"/>
    <w:rsid w:val="00A846AC"/>
    <w:rsid w:val="00A8692B"/>
    <w:rsid w:val="00A8765A"/>
    <w:rsid w:val="00A90CA0"/>
    <w:rsid w:val="00A94E5C"/>
    <w:rsid w:val="00A95614"/>
    <w:rsid w:val="00A959C5"/>
    <w:rsid w:val="00A97948"/>
    <w:rsid w:val="00AA25EE"/>
    <w:rsid w:val="00AA3E79"/>
    <w:rsid w:val="00AA46F2"/>
    <w:rsid w:val="00AA66DC"/>
    <w:rsid w:val="00AB0225"/>
    <w:rsid w:val="00AB3301"/>
    <w:rsid w:val="00AB4826"/>
    <w:rsid w:val="00AB5316"/>
    <w:rsid w:val="00AB5710"/>
    <w:rsid w:val="00AB5ADB"/>
    <w:rsid w:val="00AC0427"/>
    <w:rsid w:val="00AC1334"/>
    <w:rsid w:val="00AC1CC4"/>
    <w:rsid w:val="00AC2D6F"/>
    <w:rsid w:val="00AD0B70"/>
    <w:rsid w:val="00AD1EBE"/>
    <w:rsid w:val="00AE7E02"/>
    <w:rsid w:val="00AF0148"/>
    <w:rsid w:val="00AF2122"/>
    <w:rsid w:val="00AF3638"/>
    <w:rsid w:val="00AF4335"/>
    <w:rsid w:val="00AF5569"/>
    <w:rsid w:val="00B007B4"/>
    <w:rsid w:val="00B017A5"/>
    <w:rsid w:val="00B01CF8"/>
    <w:rsid w:val="00B04354"/>
    <w:rsid w:val="00B12660"/>
    <w:rsid w:val="00B14634"/>
    <w:rsid w:val="00B15002"/>
    <w:rsid w:val="00B304CD"/>
    <w:rsid w:val="00B324C4"/>
    <w:rsid w:val="00B37D99"/>
    <w:rsid w:val="00B42F25"/>
    <w:rsid w:val="00B44470"/>
    <w:rsid w:val="00B45590"/>
    <w:rsid w:val="00B537EE"/>
    <w:rsid w:val="00B55FA4"/>
    <w:rsid w:val="00B61C4C"/>
    <w:rsid w:val="00B61E83"/>
    <w:rsid w:val="00B62F9B"/>
    <w:rsid w:val="00B639AE"/>
    <w:rsid w:val="00B6593D"/>
    <w:rsid w:val="00B6636A"/>
    <w:rsid w:val="00B665BC"/>
    <w:rsid w:val="00B66882"/>
    <w:rsid w:val="00B66AEE"/>
    <w:rsid w:val="00B733A8"/>
    <w:rsid w:val="00B73471"/>
    <w:rsid w:val="00B735F7"/>
    <w:rsid w:val="00B73BD1"/>
    <w:rsid w:val="00B75564"/>
    <w:rsid w:val="00B75905"/>
    <w:rsid w:val="00B810DE"/>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D5BC1"/>
    <w:rsid w:val="00BE00C5"/>
    <w:rsid w:val="00BE0920"/>
    <w:rsid w:val="00BE2D6D"/>
    <w:rsid w:val="00BE621B"/>
    <w:rsid w:val="00BE6886"/>
    <w:rsid w:val="00BF14CE"/>
    <w:rsid w:val="00BF4E2D"/>
    <w:rsid w:val="00BF515D"/>
    <w:rsid w:val="00BF7775"/>
    <w:rsid w:val="00C023D3"/>
    <w:rsid w:val="00C02577"/>
    <w:rsid w:val="00C05EAD"/>
    <w:rsid w:val="00C15659"/>
    <w:rsid w:val="00C15ADF"/>
    <w:rsid w:val="00C166B0"/>
    <w:rsid w:val="00C223E0"/>
    <w:rsid w:val="00C2560F"/>
    <w:rsid w:val="00C35751"/>
    <w:rsid w:val="00C42A14"/>
    <w:rsid w:val="00C4500C"/>
    <w:rsid w:val="00C52A03"/>
    <w:rsid w:val="00C56EC1"/>
    <w:rsid w:val="00C61AF1"/>
    <w:rsid w:val="00C669E1"/>
    <w:rsid w:val="00C71A2C"/>
    <w:rsid w:val="00C761CA"/>
    <w:rsid w:val="00C80296"/>
    <w:rsid w:val="00C80D7D"/>
    <w:rsid w:val="00C83016"/>
    <w:rsid w:val="00C86661"/>
    <w:rsid w:val="00C86BC1"/>
    <w:rsid w:val="00C87B47"/>
    <w:rsid w:val="00C961AB"/>
    <w:rsid w:val="00CA0545"/>
    <w:rsid w:val="00CA0851"/>
    <w:rsid w:val="00CA1546"/>
    <w:rsid w:val="00CB009A"/>
    <w:rsid w:val="00CB05C5"/>
    <w:rsid w:val="00CB3734"/>
    <w:rsid w:val="00CD0434"/>
    <w:rsid w:val="00CD26E9"/>
    <w:rsid w:val="00CD5531"/>
    <w:rsid w:val="00CD61A2"/>
    <w:rsid w:val="00CE6607"/>
    <w:rsid w:val="00CF0F23"/>
    <w:rsid w:val="00CF10C9"/>
    <w:rsid w:val="00CF4C84"/>
    <w:rsid w:val="00D04322"/>
    <w:rsid w:val="00D0525F"/>
    <w:rsid w:val="00D07FC5"/>
    <w:rsid w:val="00D1029C"/>
    <w:rsid w:val="00D108F0"/>
    <w:rsid w:val="00D114F3"/>
    <w:rsid w:val="00D16387"/>
    <w:rsid w:val="00D17AAB"/>
    <w:rsid w:val="00D22118"/>
    <w:rsid w:val="00D25827"/>
    <w:rsid w:val="00D2670F"/>
    <w:rsid w:val="00D30AD8"/>
    <w:rsid w:val="00D40E8E"/>
    <w:rsid w:val="00D43A85"/>
    <w:rsid w:val="00D46EDF"/>
    <w:rsid w:val="00D47DA5"/>
    <w:rsid w:val="00D5244C"/>
    <w:rsid w:val="00D533BC"/>
    <w:rsid w:val="00D53B44"/>
    <w:rsid w:val="00D54E51"/>
    <w:rsid w:val="00D57CA6"/>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6BD0"/>
    <w:rsid w:val="00DA167B"/>
    <w:rsid w:val="00DA26C9"/>
    <w:rsid w:val="00DA3721"/>
    <w:rsid w:val="00DA491F"/>
    <w:rsid w:val="00DA6925"/>
    <w:rsid w:val="00DA69AF"/>
    <w:rsid w:val="00DA7520"/>
    <w:rsid w:val="00DB130C"/>
    <w:rsid w:val="00DB2CD6"/>
    <w:rsid w:val="00DB725B"/>
    <w:rsid w:val="00DB789D"/>
    <w:rsid w:val="00DC02FE"/>
    <w:rsid w:val="00DC1229"/>
    <w:rsid w:val="00DC47D7"/>
    <w:rsid w:val="00DC70E7"/>
    <w:rsid w:val="00DC76B8"/>
    <w:rsid w:val="00DD1A28"/>
    <w:rsid w:val="00DD3507"/>
    <w:rsid w:val="00DD6054"/>
    <w:rsid w:val="00DE35D1"/>
    <w:rsid w:val="00DE37A2"/>
    <w:rsid w:val="00DE48E7"/>
    <w:rsid w:val="00DF13CF"/>
    <w:rsid w:val="00DF1D79"/>
    <w:rsid w:val="00DF20F7"/>
    <w:rsid w:val="00DF4518"/>
    <w:rsid w:val="00DF617D"/>
    <w:rsid w:val="00E03771"/>
    <w:rsid w:val="00E0474C"/>
    <w:rsid w:val="00E072B7"/>
    <w:rsid w:val="00E11456"/>
    <w:rsid w:val="00E1529A"/>
    <w:rsid w:val="00E16815"/>
    <w:rsid w:val="00E1726F"/>
    <w:rsid w:val="00E204AC"/>
    <w:rsid w:val="00E27521"/>
    <w:rsid w:val="00E34812"/>
    <w:rsid w:val="00E41AE9"/>
    <w:rsid w:val="00E448B5"/>
    <w:rsid w:val="00E5362F"/>
    <w:rsid w:val="00E54D57"/>
    <w:rsid w:val="00E54F29"/>
    <w:rsid w:val="00E56743"/>
    <w:rsid w:val="00E62319"/>
    <w:rsid w:val="00E6487D"/>
    <w:rsid w:val="00E6574B"/>
    <w:rsid w:val="00E66218"/>
    <w:rsid w:val="00E72FC9"/>
    <w:rsid w:val="00E7414F"/>
    <w:rsid w:val="00E7521A"/>
    <w:rsid w:val="00E774AD"/>
    <w:rsid w:val="00E80F07"/>
    <w:rsid w:val="00E81EC3"/>
    <w:rsid w:val="00E8452A"/>
    <w:rsid w:val="00E85255"/>
    <w:rsid w:val="00E860EF"/>
    <w:rsid w:val="00E870AD"/>
    <w:rsid w:val="00E87977"/>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D7A28"/>
    <w:rsid w:val="00EE193E"/>
    <w:rsid w:val="00EE75F7"/>
    <w:rsid w:val="00EF0902"/>
    <w:rsid w:val="00EF4CCE"/>
    <w:rsid w:val="00EF514C"/>
    <w:rsid w:val="00EF7881"/>
    <w:rsid w:val="00EF7E02"/>
    <w:rsid w:val="00F009A1"/>
    <w:rsid w:val="00F00A3F"/>
    <w:rsid w:val="00F05317"/>
    <w:rsid w:val="00F06AA8"/>
    <w:rsid w:val="00F11146"/>
    <w:rsid w:val="00F162E5"/>
    <w:rsid w:val="00F168A3"/>
    <w:rsid w:val="00F20008"/>
    <w:rsid w:val="00F22CE5"/>
    <w:rsid w:val="00F249C2"/>
    <w:rsid w:val="00F25274"/>
    <w:rsid w:val="00F30D97"/>
    <w:rsid w:val="00F370F7"/>
    <w:rsid w:val="00F43F0D"/>
    <w:rsid w:val="00F447BD"/>
    <w:rsid w:val="00F46097"/>
    <w:rsid w:val="00F511F6"/>
    <w:rsid w:val="00F51DE2"/>
    <w:rsid w:val="00F52FAF"/>
    <w:rsid w:val="00F53EC3"/>
    <w:rsid w:val="00F554E8"/>
    <w:rsid w:val="00F575AD"/>
    <w:rsid w:val="00F652AC"/>
    <w:rsid w:val="00F65BAF"/>
    <w:rsid w:val="00F66195"/>
    <w:rsid w:val="00F665AB"/>
    <w:rsid w:val="00F75558"/>
    <w:rsid w:val="00F75C54"/>
    <w:rsid w:val="00F77769"/>
    <w:rsid w:val="00F77C8D"/>
    <w:rsid w:val="00F8063A"/>
    <w:rsid w:val="00F820A0"/>
    <w:rsid w:val="00F8272D"/>
    <w:rsid w:val="00F82866"/>
    <w:rsid w:val="00F83661"/>
    <w:rsid w:val="00F93739"/>
    <w:rsid w:val="00FA7122"/>
    <w:rsid w:val="00FB15EB"/>
    <w:rsid w:val="00FB1AFB"/>
    <w:rsid w:val="00FB2C1B"/>
    <w:rsid w:val="00FB4201"/>
    <w:rsid w:val="00FC177B"/>
    <w:rsid w:val="00FC2642"/>
    <w:rsid w:val="00FC6A6F"/>
    <w:rsid w:val="00FD0807"/>
    <w:rsid w:val="00FD0DD5"/>
    <w:rsid w:val="00FD4063"/>
    <w:rsid w:val="00FD6813"/>
    <w:rsid w:val="00FE01D9"/>
    <w:rsid w:val="00FE30F2"/>
    <w:rsid w:val="00FE3802"/>
    <w:rsid w:val="00FE699B"/>
    <w:rsid w:val="00FF44DD"/>
    <w:rsid w:val="00FF580C"/>
    <w:rsid w:val="00FF6C46"/>
    <w:rsid w:val="00FF7504"/>
    <w:rsid w:val="00FF7FE3"/>
    <w:rsid w:val="01AF5332"/>
    <w:rsid w:val="01DC6C89"/>
    <w:rsid w:val="0334789D"/>
    <w:rsid w:val="05B52C99"/>
    <w:rsid w:val="060A5E1C"/>
    <w:rsid w:val="06F55595"/>
    <w:rsid w:val="079914CF"/>
    <w:rsid w:val="08470D5B"/>
    <w:rsid w:val="093A12E4"/>
    <w:rsid w:val="0B903ADE"/>
    <w:rsid w:val="0C667EA6"/>
    <w:rsid w:val="0F062495"/>
    <w:rsid w:val="0F447F1C"/>
    <w:rsid w:val="122136E2"/>
    <w:rsid w:val="12F40DF6"/>
    <w:rsid w:val="13053004"/>
    <w:rsid w:val="147F2942"/>
    <w:rsid w:val="156D4658"/>
    <w:rsid w:val="15CC04BD"/>
    <w:rsid w:val="178E3074"/>
    <w:rsid w:val="19067AD5"/>
    <w:rsid w:val="19B018D7"/>
    <w:rsid w:val="19F1668A"/>
    <w:rsid w:val="1DCD6AB3"/>
    <w:rsid w:val="225C2514"/>
    <w:rsid w:val="23405992"/>
    <w:rsid w:val="23E0478E"/>
    <w:rsid w:val="24C43A2C"/>
    <w:rsid w:val="26C52111"/>
    <w:rsid w:val="27E76110"/>
    <w:rsid w:val="29134428"/>
    <w:rsid w:val="2AB9711D"/>
    <w:rsid w:val="2B2937A5"/>
    <w:rsid w:val="2B60487E"/>
    <w:rsid w:val="2C941296"/>
    <w:rsid w:val="2DEF26D6"/>
    <w:rsid w:val="30C45E54"/>
    <w:rsid w:val="30C46FA8"/>
    <w:rsid w:val="32586854"/>
    <w:rsid w:val="367810B3"/>
    <w:rsid w:val="37E94405"/>
    <w:rsid w:val="3B466628"/>
    <w:rsid w:val="3F4516BE"/>
    <w:rsid w:val="3FDC63BD"/>
    <w:rsid w:val="408F1FDB"/>
    <w:rsid w:val="455459C3"/>
    <w:rsid w:val="455F6E02"/>
    <w:rsid w:val="45D7020D"/>
    <w:rsid w:val="464507E7"/>
    <w:rsid w:val="485360C8"/>
    <w:rsid w:val="4B3C78A4"/>
    <w:rsid w:val="4C063CE7"/>
    <w:rsid w:val="4D904369"/>
    <w:rsid w:val="4E112440"/>
    <w:rsid w:val="4E2D31EF"/>
    <w:rsid w:val="4F2C11EB"/>
    <w:rsid w:val="506863A4"/>
    <w:rsid w:val="510C5E54"/>
    <w:rsid w:val="518B68B4"/>
    <w:rsid w:val="52216A9B"/>
    <w:rsid w:val="52427E13"/>
    <w:rsid w:val="531609B9"/>
    <w:rsid w:val="533B2535"/>
    <w:rsid w:val="53795887"/>
    <w:rsid w:val="537E3CF6"/>
    <w:rsid w:val="541360A4"/>
    <w:rsid w:val="549D3CDB"/>
    <w:rsid w:val="57264039"/>
    <w:rsid w:val="592D6E08"/>
    <w:rsid w:val="59943EF2"/>
    <w:rsid w:val="59E1039E"/>
    <w:rsid w:val="5AB3403C"/>
    <w:rsid w:val="5ADE61AD"/>
    <w:rsid w:val="5B9A25B0"/>
    <w:rsid w:val="5C82428E"/>
    <w:rsid w:val="5F251B4F"/>
    <w:rsid w:val="5F455E33"/>
    <w:rsid w:val="5FAC475D"/>
    <w:rsid w:val="61E075AC"/>
    <w:rsid w:val="63314CFF"/>
    <w:rsid w:val="67674876"/>
    <w:rsid w:val="68D10094"/>
    <w:rsid w:val="69025CC1"/>
    <w:rsid w:val="69BB0E9B"/>
    <w:rsid w:val="6A2829D5"/>
    <w:rsid w:val="6AED3083"/>
    <w:rsid w:val="6B766832"/>
    <w:rsid w:val="6C2F5391"/>
    <w:rsid w:val="6CA16A6E"/>
    <w:rsid w:val="702A0B29"/>
    <w:rsid w:val="70D0194C"/>
    <w:rsid w:val="719C7804"/>
    <w:rsid w:val="72FF629D"/>
    <w:rsid w:val="73DD76C0"/>
    <w:rsid w:val="7417077D"/>
    <w:rsid w:val="74452A91"/>
    <w:rsid w:val="74A803CF"/>
    <w:rsid w:val="75080D74"/>
    <w:rsid w:val="75583381"/>
    <w:rsid w:val="76D40B24"/>
    <w:rsid w:val="7D9F519D"/>
    <w:rsid w:val="7EA65173"/>
    <w:rsid w:val="7EF02F3D"/>
    <w:rsid w:val="7F6E56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 w:type="character" w:customStyle="1" w:styleId="173">
    <w:name w:val="font5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C6D4-29F8-4054-9A3D-2841559B404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10</Pages>
  <Words>3990</Words>
  <Characters>4502</Characters>
  <Lines>124</Lines>
  <Paragraphs>34</Paragraphs>
  <TotalTime>1</TotalTime>
  <ScaleCrop>false</ScaleCrop>
  <LinksUpToDate>false</LinksUpToDate>
  <CharactersWithSpaces>4730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Irreplaceable</cp:lastModifiedBy>
  <cp:lastPrinted>2025-06-18T00:49:00Z</cp:lastPrinted>
  <dcterms:modified xsi:type="dcterms:W3CDTF">2025-08-14T01:58:20Z</dcterms:modified>
  <dc:subject>青岛市政府采购采购文件范本</dc:subject>
  <dc:title>青岛市政府采购采购文件范本</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AB0E5AE9865C4900B2552F388743600E</vt:lpwstr>
  </property>
  <property fmtid="{D5CDD505-2E9C-101B-9397-08002B2CF9AE}" pid="4" name="KSOTemplateDocerSaveRecord">
    <vt:lpwstr>eyJoZGlkIjoiZWIzNTk5M2ZiMGFmNWY3NDViYWI0NDJiYzRlNTE5MzgiLCJ1c2VySWQiOiI3Mzc1OTgzMzEifQ==</vt:lpwstr>
  </property>
</Properties>
</file>