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13034"/>
      <w:r>
        <w:rPr>
          <w:rFonts w:hint="eastAsia" w:ascii="仿宋" w:hAnsi="仿宋" w:eastAsia="仿宋"/>
          <w:b/>
          <w:sz w:val="28"/>
          <w:szCs w:val="28"/>
          <w:highlight w:val="none"/>
        </w:rPr>
        <w:t>招标公告</w:t>
      </w:r>
      <w:bookmarkEnd w:id="0"/>
    </w:p>
    <w:p w14:paraId="428C4616">
      <w:pPr>
        <w:spacing w:line="560" w:lineRule="exact"/>
        <w:ind w:firstLine="480" w:firstLineChars="200"/>
        <w:rPr>
          <w:rFonts w:ascii="仿宋" w:hAnsi="仿宋" w:eastAsia="仿宋"/>
          <w:bCs/>
          <w:sz w:val="24"/>
          <w:szCs w:val="24"/>
          <w:highlight w:val="none"/>
        </w:rPr>
      </w:pPr>
      <w:r>
        <w:rPr>
          <w:rFonts w:hint="eastAsia" w:ascii="仿宋" w:hAnsi="仿宋" w:eastAsia="仿宋"/>
          <w:sz w:val="24"/>
          <w:szCs w:val="24"/>
          <w:highlight w:val="none"/>
        </w:rPr>
        <w:t>我公司现对高新区35KV上康甲线线路抢修工程（电缆试验、电缆检测）进行招标，欢迎符合条件的投标人参加，具体要求如下：</w:t>
      </w:r>
    </w:p>
    <w:p w14:paraId="20B5C52A">
      <w:pPr>
        <w:numPr>
          <w:ilvl w:val="0"/>
          <w:numId w:val="0"/>
        </w:numPr>
        <w:tabs>
          <w:tab w:val="left" w:pos="6379"/>
        </w:tabs>
        <w:spacing w:line="56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项目名称：高新区35KV上康甲线线路抢修工程（电缆试验、电缆检测）</w:t>
      </w:r>
    </w:p>
    <w:p w14:paraId="3F2A4EBE">
      <w:pPr>
        <w:numPr>
          <w:ilvl w:val="0"/>
          <w:numId w:val="0"/>
        </w:numPr>
        <w:tabs>
          <w:tab w:val="left" w:pos="6379"/>
        </w:tabs>
        <w:spacing w:line="56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2.项目地点：青岛</w:t>
      </w:r>
      <w:r>
        <w:rPr>
          <w:rFonts w:hint="eastAsia" w:ascii="仿宋" w:hAnsi="仿宋" w:eastAsia="仿宋"/>
          <w:sz w:val="24"/>
          <w:szCs w:val="24"/>
          <w:highlight w:val="none"/>
          <w:lang w:eastAsia="zh-CN"/>
        </w:rPr>
        <w:t>市</w:t>
      </w:r>
      <w:r>
        <w:rPr>
          <w:rFonts w:hint="eastAsia" w:ascii="仿宋" w:hAnsi="仿宋" w:eastAsia="仿宋"/>
          <w:sz w:val="24"/>
          <w:szCs w:val="24"/>
          <w:highlight w:val="none"/>
        </w:rPr>
        <w:t>。</w:t>
      </w:r>
    </w:p>
    <w:p w14:paraId="1AD7BC76">
      <w:pPr>
        <w:tabs>
          <w:tab w:val="left" w:pos="6379"/>
        </w:tabs>
        <w:spacing w:line="56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3.服务内容：ZC-YJV22-26/35-3*400电缆试验、电缆检测（详见工程量清单）</w:t>
      </w:r>
      <w:r>
        <w:rPr>
          <w:rFonts w:hint="eastAsia" w:ascii="仿宋" w:hAnsi="仿宋" w:eastAsia="仿宋"/>
          <w:sz w:val="24"/>
          <w:szCs w:val="24"/>
          <w:highlight w:val="none"/>
          <w:lang w:eastAsia="zh-CN"/>
        </w:rPr>
        <w:t>。</w:t>
      </w:r>
    </w:p>
    <w:p w14:paraId="3C139E3F">
      <w:pPr>
        <w:tabs>
          <w:tab w:val="left" w:pos="6379"/>
        </w:tabs>
        <w:spacing w:line="56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4.招标控制价（含税价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增值税税率为</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%）：176249.99元。</w:t>
      </w:r>
    </w:p>
    <w:p w14:paraId="46B4F9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rPr>
        <w:t>5.</w:t>
      </w:r>
      <w:r>
        <w:rPr>
          <w:rFonts w:hint="eastAsia" w:ascii="仿宋" w:hAnsi="仿宋" w:eastAsia="仿宋" w:cs="宋体"/>
          <w:bCs/>
          <w:sz w:val="24"/>
          <w:szCs w:val="24"/>
          <w:highlight w:val="none"/>
        </w:rPr>
        <w:t xml:space="preserve"> 投标人</w:t>
      </w:r>
      <w:r>
        <w:rPr>
          <w:rFonts w:hint="eastAsia" w:ascii="仿宋" w:hAnsi="仿宋" w:eastAsia="仿宋"/>
          <w:sz w:val="24"/>
          <w:szCs w:val="24"/>
          <w:highlight w:val="none"/>
        </w:rPr>
        <w:t>资格要求</w:t>
      </w:r>
    </w:p>
    <w:p w14:paraId="22BFCB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highlight w:val="none"/>
        </w:rPr>
      </w:pPr>
      <w:r>
        <w:rPr>
          <w:rFonts w:hint="eastAsia" w:ascii="仿宋" w:hAnsi="仿宋" w:eastAsia="仿宋"/>
          <w:sz w:val="24"/>
          <w:szCs w:val="24"/>
          <w:highlight w:val="none"/>
        </w:rPr>
        <w:t xml:space="preserve">    5.1供应商必须具有独立法人资格,各供应商不得有企业关联或股权关系。</w:t>
      </w:r>
    </w:p>
    <w:p w14:paraId="194B61C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5.2供应商须具有承装（修、试）电力设施许可证，承试类四级及以上企业资质，并具有有效期内的安全生产许可证。</w:t>
      </w:r>
    </w:p>
    <w:p w14:paraId="7F267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bCs/>
          <w:sz w:val="24"/>
          <w:szCs w:val="24"/>
          <w:highlight w:val="none"/>
        </w:rPr>
      </w:pPr>
      <w:r>
        <w:rPr>
          <w:rFonts w:hint="eastAsia" w:ascii="仿宋" w:hAnsi="仿宋" w:eastAsia="仿宋"/>
          <w:sz w:val="24"/>
          <w:szCs w:val="24"/>
          <w:highlight w:val="none"/>
        </w:rPr>
        <w:t xml:space="preserve">    5.3采购公告发布之日前三年内无行贿犯罪等重大违法记录。</w:t>
      </w:r>
      <w:r>
        <w:rPr>
          <w:rFonts w:ascii="仿宋" w:hAnsi="仿宋" w:eastAsia="仿宋"/>
          <w:sz w:val="24"/>
          <w:szCs w:val="24"/>
          <w:highlight w:val="none"/>
        </w:rPr>
        <w:br w:type="textWrapping"/>
      </w:r>
      <w:bookmarkStart w:id="1" w:name="_Toc521332562"/>
      <w:r>
        <w:rPr>
          <w:rFonts w:hint="eastAsia" w:ascii="仿宋" w:hAnsi="仿宋" w:eastAsia="仿宋"/>
          <w:sz w:val="24"/>
          <w:szCs w:val="24"/>
          <w:highlight w:val="none"/>
        </w:rPr>
        <w:t xml:space="preserve">    5.4通过“信用中国”网</w:t>
      </w:r>
      <w:r>
        <w:rPr>
          <w:rFonts w:hint="eastAsia" w:ascii="仿宋" w:hAnsi="仿宋" w:eastAsia="仿宋" w:cs="宋体"/>
          <w:bCs/>
          <w:sz w:val="24"/>
          <w:szCs w:val="24"/>
          <w:highlight w:val="none"/>
        </w:rPr>
        <w:t>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1"/>
    <w:p w14:paraId="566ED4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6.资格预审及招标文件的获取</w:t>
      </w:r>
    </w:p>
    <w:p w14:paraId="2C84D67E">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6.1截止时间：2025年</w:t>
      </w:r>
      <w:r>
        <w:rPr>
          <w:rFonts w:hint="eastAsia" w:ascii="仿宋" w:hAnsi="仿宋" w:eastAsia="仿宋"/>
          <w:szCs w:val="24"/>
          <w:highlight w:val="none"/>
          <w:lang w:val="en-US" w:eastAsia="zh-CN"/>
        </w:rPr>
        <w:t xml:space="preserve">9 </w:t>
      </w:r>
      <w:r>
        <w:rPr>
          <w:rFonts w:hint="eastAsia" w:ascii="仿宋" w:hAnsi="仿宋" w:eastAsia="仿宋"/>
          <w:szCs w:val="24"/>
          <w:highlight w:val="none"/>
        </w:rPr>
        <w:t>月</w:t>
      </w:r>
      <w:r>
        <w:rPr>
          <w:rFonts w:hint="eastAsia" w:ascii="仿宋" w:hAnsi="仿宋" w:eastAsia="仿宋"/>
          <w:szCs w:val="24"/>
          <w:highlight w:val="none"/>
          <w:lang w:val="en-US" w:eastAsia="zh-CN"/>
        </w:rPr>
        <w:t>30</w:t>
      </w:r>
      <w:r>
        <w:rPr>
          <w:rFonts w:hint="eastAsia" w:ascii="仿宋" w:hAnsi="仿宋" w:eastAsia="仿宋"/>
          <w:szCs w:val="24"/>
          <w:highlight w:val="none"/>
        </w:rPr>
        <w:t>日</w:t>
      </w:r>
      <w:r>
        <w:rPr>
          <w:rFonts w:hint="eastAsia" w:ascii="仿宋" w:hAnsi="仿宋" w:eastAsia="仿宋"/>
          <w:szCs w:val="24"/>
          <w:highlight w:val="none"/>
          <w:lang w:val="en-US" w:eastAsia="zh-CN"/>
        </w:rPr>
        <w:t>12</w:t>
      </w:r>
      <w:r>
        <w:rPr>
          <w:rFonts w:hint="eastAsia" w:ascii="仿宋" w:hAnsi="仿宋" w:eastAsia="仿宋"/>
          <w:szCs w:val="24"/>
          <w:highlight w:val="none"/>
        </w:rPr>
        <w:t>时00分。</w:t>
      </w:r>
    </w:p>
    <w:p w14:paraId="3DF8826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w:t>
      </w:r>
      <w:r>
        <w:rPr>
          <w:rFonts w:hint="eastAsia" w:ascii="仿宋" w:hAnsi="仿宋" w:eastAsia="仿宋"/>
          <w:b/>
          <w:bCs/>
          <w:szCs w:val="24"/>
          <w:highlight w:val="none"/>
        </w:rPr>
        <w:t>PDF</w:t>
      </w:r>
      <w:r>
        <w:rPr>
          <w:rFonts w:hint="eastAsia" w:ascii="仿宋" w:hAnsi="仿宋" w:eastAsia="仿宋"/>
          <w:szCs w:val="24"/>
          <w:highlight w:val="none"/>
        </w:rPr>
        <w:t>文档，在截止时间前发送至邮箱：gaoxinshuidian@163.com。邮件标题为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联系人、联系方式、招标文件接收邮箱地址</w:t>
      </w:r>
      <w:r>
        <w:rPr>
          <w:rFonts w:hint="eastAsia" w:ascii="仿宋" w:hAnsi="仿宋" w:eastAsia="仿宋"/>
          <w:szCs w:val="24"/>
          <w:highlight w:val="none"/>
        </w:rPr>
        <w:t>。</w:t>
      </w:r>
      <w:r>
        <w:rPr>
          <w:rStyle w:val="47"/>
          <w:rFonts w:hint="eastAsia" w:ascii="仿宋" w:hAnsi="仿宋" w:eastAsia="仿宋" w:cs="仿宋"/>
          <w:sz w:val="24"/>
          <w:szCs w:val="24"/>
          <w:highlight w:val="none"/>
        </w:rPr>
        <w:t>由招标单位受理后，通过邮箱向投标人发放招标文件。</w:t>
      </w:r>
    </w:p>
    <w:p w14:paraId="72C5C1DE">
      <w:pPr>
        <w:pStyle w:val="16"/>
        <w:spacing w:line="560" w:lineRule="exact"/>
        <w:ind w:firstLine="360" w:firstLineChars="150"/>
        <w:rPr>
          <w:rFonts w:ascii="仿宋" w:hAnsi="仿宋" w:eastAsia="仿宋"/>
          <w:szCs w:val="24"/>
          <w:highlight w:val="none"/>
        </w:rPr>
      </w:pPr>
      <w:r>
        <w:rPr>
          <w:rFonts w:hint="eastAsia" w:ascii="仿宋" w:hAnsi="仿宋" w:eastAsia="仿宋"/>
          <w:szCs w:val="24"/>
          <w:highlight w:val="none"/>
        </w:rPr>
        <w:t>6.3资格审查材料：营业执照复印件</w:t>
      </w:r>
      <w:r>
        <w:rPr>
          <w:rFonts w:hint="eastAsia" w:ascii="仿宋" w:hAnsi="仿宋" w:eastAsia="仿宋"/>
          <w:sz w:val="24"/>
          <w:szCs w:val="24"/>
          <w:highlight w:val="none"/>
          <w:lang w:eastAsia="zh-CN"/>
        </w:rPr>
        <w:t>，</w:t>
      </w:r>
      <w:r>
        <w:rPr>
          <w:rFonts w:hint="eastAsia" w:ascii="仿宋" w:hAnsi="仿宋" w:eastAsia="仿宋"/>
          <w:szCs w:val="24"/>
          <w:highlight w:val="none"/>
        </w:rPr>
        <w:t>法定代表人身份证明，法定代表人授权委托书，</w:t>
      </w:r>
      <w:r>
        <w:rPr>
          <w:rFonts w:hint="eastAsia" w:ascii="仿宋" w:hAnsi="仿宋" w:eastAsia="仿宋"/>
          <w:sz w:val="24"/>
          <w:szCs w:val="24"/>
          <w:highlight w:val="none"/>
        </w:rPr>
        <w:t>企业相关资质</w:t>
      </w:r>
      <w:r>
        <w:rPr>
          <w:rFonts w:hint="eastAsia" w:ascii="仿宋" w:hAnsi="仿宋" w:eastAsia="仿宋"/>
          <w:sz w:val="24"/>
          <w:szCs w:val="24"/>
          <w:highlight w:val="none"/>
          <w:lang w:eastAsia="zh-CN"/>
        </w:rPr>
        <w:t>（</w:t>
      </w:r>
      <w:r>
        <w:rPr>
          <w:rFonts w:hint="eastAsia" w:ascii="仿宋" w:hAnsi="仿宋" w:eastAsia="仿宋"/>
          <w:sz w:val="24"/>
          <w:szCs w:val="24"/>
          <w:highlight w:val="none"/>
        </w:rPr>
        <w:t>承装（修、试）电力设施许可证，承试类四级及以上企业资质</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有效期内的安全生产许可证</w:t>
      </w:r>
      <w:r>
        <w:rPr>
          <w:rFonts w:hint="eastAsia" w:ascii="仿宋" w:hAnsi="仿宋" w:eastAsia="仿宋"/>
          <w:sz w:val="24"/>
          <w:szCs w:val="24"/>
          <w:highlight w:val="none"/>
          <w:lang w:eastAsia="zh-CN"/>
        </w:rPr>
        <w:t>、</w:t>
      </w:r>
      <w:r>
        <w:rPr>
          <w:rFonts w:hint="eastAsia" w:ascii="仿宋" w:hAnsi="仿宋" w:eastAsia="仿宋" w:cs="Times New Roman"/>
          <w:szCs w:val="24"/>
          <w:highlight w:val="none"/>
          <w:lang w:val="en-US" w:eastAsia="zh-CN"/>
        </w:rPr>
        <w:t>在经营活动中无重大违法记录和行贿犯罪记录的承诺、</w:t>
      </w:r>
      <w:r>
        <w:rPr>
          <w:rFonts w:hint="eastAsia" w:ascii="仿宋" w:hAnsi="仿宋" w:eastAsia="仿宋"/>
          <w:szCs w:val="24"/>
          <w:highlight w:val="none"/>
        </w:rPr>
        <w:t>中国裁判文书网（http://wenshu.court.gov.cn)分别查询</w:t>
      </w:r>
      <w:r>
        <w:rPr>
          <w:rFonts w:hint="eastAsia" w:ascii="仿宋" w:hAnsi="仿宋" w:eastAsia="仿宋" w:cs="宋体"/>
          <w:bCs/>
          <w:szCs w:val="24"/>
          <w:highlight w:val="none"/>
        </w:rPr>
        <w:t>投标人</w:t>
      </w:r>
      <w:r>
        <w:rPr>
          <w:rFonts w:hint="eastAsia" w:ascii="仿宋" w:hAnsi="仿宋" w:eastAsia="仿宋"/>
          <w:szCs w:val="24"/>
          <w:highlight w:val="none"/>
        </w:rPr>
        <w:t>、法定代表人</w:t>
      </w:r>
      <w:r>
        <w:rPr>
          <w:rFonts w:hint="eastAsia" w:ascii="仿宋" w:hAnsi="仿宋" w:eastAsia="仿宋" w:cs="宋体"/>
          <w:bCs/>
          <w:szCs w:val="24"/>
          <w:highlight w:val="none"/>
        </w:rPr>
        <w:t>（机构负责人）</w:t>
      </w:r>
      <w:r>
        <w:rPr>
          <w:rFonts w:hint="eastAsia" w:ascii="仿宋" w:hAnsi="仿宋" w:eastAsia="仿宋"/>
          <w:szCs w:val="24"/>
          <w:highlight w:val="none"/>
        </w:rPr>
        <w:t>无行贿犯罪记录查询网页截图，中国政府采购网、“信用中国”网站查询网页截图，</w:t>
      </w:r>
      <w:r>
        <w:rPr>
          <w:rFonts w:hint="eastAsia" w:ascii="仿宋" w:hAnsi="仿宋" w:eastAsia="仿宋" w:cs="宋体"/>
          <w:bCs/>
          <w:szCs w:val="24"/>
          <w:highlight w:val="none"/>
        </w:rPr>
        <w:t>未被列入失信被执行人、重大税收违法案件当事人、政府采购严重违法失信行为记录名单</w:t>
      </w:r>
      <w:r>
        <w:rPr>
          <w:rFonts w:hint="eastAsia" w:ascii="仿宋" w:hAnsi="仿宋" w:eastAsia="仿宋" w:cs="Times New Roman"/>
          <w:szCs w:val="24"/>
          <w:highlight w:val="none"/>
          <w:lang w:val="en-US" w:eastAsia="zh-CN"/>
        </w:rPr>
        <w:t>等资料，</w:t>
      </w:r>
      <w:r>
        <w:rPr>
          <w:rFonts w:hint="eastAsia" w:ascii="仿宋" w:hAnsi="仿宋" w:eastAsia="仿宋"/>
          <w:szCs w:val="24"/>
          <w:highlight w:val="none"/>
        </w:rPr>
        <w:t>以上材料均需加盖投标单位公章。</w:t>
      </w:r>
    </w:p>
    <w:p w14:paraId="26656A01">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7.投标文件递交时间以及地点</w:t>
      </w:r>
    </w:p>
    <w:p w14:paraId="0F0EDD7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7.1时间：2025年</w:t>
      </w:r>
      <w:r>
        <w:rPr>
          <w:rFonts w:hint="eastAsia" w:ascii="仿宋" w:hAnsi="仿宋" w:eastAsia="仿宋"/>
          <w:szCs w:val="24"/>
          <w:highlight w:val="none"/>
          <w:lang w:val="en-US" w:eastAsia="zh-CN"/>
        </w:rPr>
        <w:t xml:space="preserve"> 10</w:t>
      </w:r>
      <w:r>
        <w:rPr>
          <w:rFonts w:hint="eastAsia" w:ascii="仿宋" w:hAnsi="仿宋" w:eastAsia="仿宋"/>
          <w:szCs w:val="24"/>
          <w:highlight w:val="none"/>
        </w:rPr>
        <w:t>月</w:t>
      </w:r>
      <w:r>
        <w:rPr>
          <w:rFonts w:hint="eastAsia" w:ascii="仿宋" w:hAnsi="仿宋" w:eastAsia="仿宋"/>
          <w:szCs w:val="24"/>
          <w:highlight w:val="none"/>
          <w:lang w:val="en-US" w:eastAsia="zh-CN"/>
        </w:rPr>
        <w:t>9</w:t>
      </w:r>
      <w:r>
        <w:rPr>
          <w:rFonts w:hint="eastAsia" w:ascii="仿宋" w:hAnsi="仿宋" w:eastAsia="仿宋"/>
          <w:szCs w:val="24"/>
          <w:highlight w:val="none"/>
        </w:rPr>
        <w:t>日</w:t>
      </w:r>
      <w:r>
        <w:rPr>
          <w:rFonts w:hint="eastAsia" w:ascii="仿宋" w:hAnsi="仿宋" w:eastAsia="仿宋"/>
          <w:szCs w:val="24"/>
          <w:highlight w:val="none"/>
          <w:lang w:val="en-US" w:eastAsia="zh-CN"/>
        </w:rPr>
        <w:t>14</w:t>
      </w:r>
      <w:r>
        <w:rPr>
          <w:rFonts w:hint="eastAsia" w:ascii="仿宋" w:hAnsi="仿宋" w:eastAsia="仿宋"/>
          <w:szCs w:val="24"/>
          <w:highlight w:val="none"/>
        </w:rPr>
        <w:t>时00分至</w:t>
      </w:r>
      <w:r>
        <w:rPr>
          <w:rFonts w:hint="eastAsia" w:ascii="仿宋" w:hAnsi="仿宋" w:eastAsia="仿宋"/>
          <w:szCs w:val="24"/>
          <w:highlight w:val="none"/>
          <w:lang w:val="en-US" w:eastAsia="zh-CN"/>
        </w:rPr>
        <w:t>14</w:t>
      </w:r>
      <w:r>
        <w:rPr>
          <w:rFonts w:hint="eastAsia" w:ascii="仿宋" w:hAnsi="仿宋" w:eastAsia="仿宋"/>
          <w:szCs w:val="24"/>
          <w:highlight w:val="none"/>
        </w:rPr>
        <w:t>时30分。</w:t>
      </w:r>
    </w:p>
    <w:p w14:paraId="189D2FA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7.2地点：青岛市高新区聚贤桥路50号高实集团</w:t>
      </w:r>
      <w:r>
        <w:rPr>
          <w:rFonts w:hint="eastAsia" w:ascii="仿宋" w:hAnsi="仿宋" w:eastAsia="仿宋"/>
          <w:szCs w:val="24"/>
          <w:highlight w:val="none"/>
          <w:lang w:val="en-US" w:eastAsia="zh-CN"/>
        </w:rPr>
        <w:t>10</w:t>
      </w:r>
      <w:r>
        <w:rPr>
          <w:rFonts w:hint="eastAsia" w:ascii="仿宋" w:hAnsi="仿宋" w:eastAsia="仿宋"/>
          <w:szCs w:val="24"/>
          <w:highlight w:val="none"/>
        </w:rPr>
        <w:t>楼</w:t>
      </w:r>
      <w:r>
        <w:rPr>
          <w:rFonts w:hint="eastAsia" w:ascii="仿宋" w:hAnsi="仿宋" w:eastAsia="仿宋"/>
          <w:szCs w:val="24"/>
          <w:highlight w:val="none"/>
          <w:lang w:val="en-US" w:eastAsia="zh-CN"/>
        </w:rPr>
        <w:t>1017</w:t>
      </w:r>
      <w:r>
        <w:rPr>
          <w:rFonts w:hint="eastAsia" w:ascii="仿宋" w:hAnsi="仿宋" w:eastAsia="仿宋"/>
          <w:szCs w:val="24"/>
          <w:highlight w:val="none"/>
        </w:rPr>
        <w:t>会议室。</w:t>
      </w:r>
    </w:p>
    <w:p w14:paraId="5666A18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2641A05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8.1时间：2025年</w:t>
      </w:r>
      <w:r>
        <w:rPr>
          <w:rFonts w:hint="eastAsia" w:ascii="仿宋" w:hAnsi="仿宋" w:eastAsia="仿宋"/>
          <w:szCs w:val="24"/>
          <w:highlight w:val="none"/>
          <w:lang w:val="en-US" w:eastAsia="zh-CN"/>
        </w:rPr>
        <w:t xml:space="preserve">10 </w:t>
      </w:r>
      <w:r>
        <w:rPr>
          <w:rFonts w:hint="eastAsia" w:ascii="仿宋" w:hAnsi="仿宋" w:eastAsia="仿宋"/>
          <w:szCs w:val="24"/>
          <w:highlight w:val="none"/>
        </w:rPr>
        <w:t>月</w:t>
      </w:r>
      <w:r>
        <w:rPr>
          <w:rFonts w:hint="eastAsia" w:ascii="仿宋" w:hAnsi="仿宋" w:eastAsia="仿宋"/>
          <w:szCs w:val="24"/>
          <w:highlight w:val="none"/>
          <w:lang w:val="en-US" w:eastAsia="zh-CN"/>
        </w:rPr>
        <w:t>9</w:t>
      </w:r>
      <w:r>
        <w:rPr>
          <w:rFonts w:hint="eastAsia" w:ascii="仿宋" w:hAnsi="仿宋" w:eastAsia="仿宋"/>
          <w:szCs w:val="24"/>
          <w:highlight w:val="none"/>
        </w:rPr>
        <w:t>日</w:t>
      </w:r>
      <w:r>
        <w:rPr>
          <w:rFonts w:hint="eastAsia" w:ascii="仿宋" w:hAnsi="仿宋" w:eastAsia="仿宋"/>
          <w:szCs w:val="24"/>
          <w:highlight w:val="none"/>
          <w:lang w:val="en-US" w:eastAsia="zh-CN"/>
        </w:rPr>
        <w:t>14</w:t>
      </w:r>
      <w:r>
        <w:rPr>
          <w:rFonts w:hint="eastAsia" w:ascii="仿宋" w:hAnsi="仿宋" w:eastAsia="仿宋"/>
          <w:szCs w:val="24"/>
          <w:highlight w:val="none"/>
        </w:rPr>
        <w:t>时30分。</w:t>
      </w:r>
    </w:p>
    <w:p w14:paraId="12D23F2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w:t>
      </w:r>
      <w:r>
        <w:rPr>
          <w:rFonts w:hint="eastAsia" w:ascii="仿宋" w:hAnsi="仿宋" w:eastAsia="仿宋"/>
          <w:szCs w:val="24"/>
          <w:highlight w:val="none"/>
          <w:lang w:val="en-US" w:eastAsia="zh-CN"/>
        </w:rPr>
        <w:t>10</w:t>
      </w:r>
      <w:r>
        <w:rPr>
          <w:rFonts w:hint="eastAsia" w:ascii="仿宋" w:hAnsi="仿宋" w:eastAsia="仿宋"/>
          <w:szCs w:val="24"/>
          <w:highlight w:val="none"/>
        </w:rPr>
        <w:t>楼</w:t>
      </w:r>
      <w:r>
        <w:rPr>
          <w:rFonts w:hint="eastAsia" w:ascii="仿宋" w:hAnsi="仿宋" w:eastAsia="仿宋"/>
          <w:szCs w:val="24"/>
          <w:highlight w:val="none"/>
          <w:lang w:val="en-US" w:eastAsia="zh-CN"/>
        </w:rPr>
        <w:t>1017</w:t>
      </w:r>
      <w:r>
        <w:rPr>
          <w:rFonts w:hint="eastAsia" w:ascii="仿宋" w:hAnsi="仿宋" w:eastAsia="仿宋"/>
          <w:szCs w:val="24"/>
          <w:highlight w:val="none"/>
        </w:rPr>
        <w:t>会议室。</w:t>
      </w:r>
    </w:p>
    <w:p w14:paraId="65DD211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6614289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9.1招标人：青岛高新电力发展有限公司</w:t>
      </w:r>
    </w:p>
    <w:p w14:paraId="4F9E407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0A7A113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4A3FBA1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734A7644">
      <w:pPr>
        <w:pStyle w:val="16"/>
        <w:spacing w:line="560" w:lineRule="exact"/>
        <w:rPr>
          <w:rFonts w:ascii="仿宋" w:hAnsi="仿宋" w:eastAsia="仿宋"/>
          <w:szCs w:val="24"/>
          <w:highlight w:val="none"/>
        </w:rPr>
      </w:pPr>
    </w:p>
    <w:p w14:paraId="46777D34">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2025年</w:t>
      </w:r>
      <w:r>
        <w:rPr>
          <w:rFonts w:hint="eastAsia" w:ascii="仿宋" w:hAnsi="仿宋" w:eastAsia="仿宋"/>
          <w:szCs w:val="24"/>
          <w:highlight w:val="none"/>
          <w:lang w:val="en-US" w:eastAsia="zh-CN"/>
        </w:rPr>
        <w:t>9</w:t>
      </w:r>
      <w:r>
        <w:rPr>
          <w:rFonts w:hint="eastAsia" w:ascii="仿宋" w:hAnsi="仿宋" w:eastAsia="仿宋"/>
          <w:szCs w:val="24"/>
          <w:highlight w:val="none"/>
        </w:rPr>
        <w:t>月</w:t>
      </w:r>
      <w:r>
        <w:rPr>
          <w:rFonts w:hint="eastAsia" w:ascii="仿宋" w:hAnsi="仿宋" w:eastAsia="仿宋"/>
          <w:szCs w:val="24"/>
          <w:highlight w:val="none"/>
          <w:lang w:val="en-US" w:eastAsia="zh-CN"/>
        </w:rPr>
        <w:t>28</w:t>
      </w:r>
      <w:r>
        <w:rPr>
          <w:rFonts w:hint="eastAsia" w:ascii="仿宋" w:hAnsi="仿宋" w:eastAsia="仿宋"/>
          <w:szCs w:val="24"/>
          <w:highlight w:val="none"/>
        </w:rPr>
        <w:t>日</w:t>
      </w:r>
    </w:p>
    <w:p w14:paraId="55B83D9E">
      <w:pPr>
        <w:spacing w:afterLines="50" w:line="360" w:lineRule="auto"/>
        <w:jc w:val="center"/>
        <w:outlineLvl w:val="1"/>
        <w:rPr>
          <w:rFonts w:ascii="仿宋" w:hAnsi="仿宋" w:eastAsia="仿宋"/>
          <w:b/>
          <w:sz w:val="28"/>
          <w:szCs w:val="28"/>
          <w:highlight w:val="none"/>
        </w:rPr>
      </w:pPr>
      <w:r>
        <w:rPr>
          <w:rFonts w:ascii="仿宋" w:hAnsi="仿宋" w:eastAsia="仿宋"/>
          <w:b/>
          <w:sz w:val="28"/>
          <w:szCs w:val="28"/>
          <w:highlight w:val="none"/>
        </w:rPr>
        <w:br w:type="page"/>
      </w:r>
      <w:bookmarkStart w:id="2" w:name="_Toc24066"/>
      <w:r>
        <w:rPr>
          <w:rFonts w:hint="eastAsia" w:ascii="仿宋" w:hAnsi="仿宋" w:eastAsia="仿宋"/>
          <w:b/>
          <w:sz w:val="28"/>
          <w:szCs w:val="28"/>
          <w:highlight w:val="none"/>
        </w:rPr>
        <w:t xml:space="preserve">  招标需求</w:t>
      </w:r>
      <w:bookmarkEnd w:id="2"/>
    </w:p>
    <w:p w14:paraId="6BF53BA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b/>
          <w:bCs/>
          <w:color w:val="000000"/>
          <w:sz w:val="24"/>
          <w:szCs w:val="24"/>
          <w:highlight w:val="none"/>
        </w:rPr>
      </w:pPr>
      <w:r>
        <w:rPr>
          <w:rFonts w:ascii="黑体" w:hAnsi="黑体" w:eastAsia="黑体" w:cs="宋体"/>
          <w:b/>
          <w:bCs/>
          <w:color w:val="000000"/>
          <w:sz w:val="24"/>
          <w:szCs w:val="24"/>
          <w:highlight w:val="none"/>
        </w:rPr>
        <w:t>一</w:t>
      </w:r>
      <w:r>
        <w:rPr>
          <w:rFonts w:hint="eastAsia" w:ascii="黑体" w:hAnsi="黑体" w:eastAsia="黑体" w:cs="宋体"/>
          <w:b/>
          <w:bCs/>
          <w:color w:val="000000"/>
          <w:sz w:val="24"/>
          <w:szCs w:val="24"/>
          <w:highlight w:val="none"/>
        </w:rPr>
        <w:t>、</w:t>
      </w:r>
      <w:r>
        <w:rPr>
          <w:rFonts w:ascii="黑体" w:hAnsi="黑体" w:eastAsia="黑体" w:cs="宋体"/>
          <w:b/>
          <w:bCs/>
          <w:color w:val="000000"/>
          <w:sz w:val="24"/>
          <w:szCs w:val="24"/>
          <w:highlight w:val="none"/>
        </w:rPr>
        <w:t>采购需求</w:t>
      </w:r>
    </w:p>
    <w:p w14:paraId="5F03CC9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服务内容：ZC-YJV22-26/35-3*400</w:t>
      </w:r>
      <w:r>
        <w:rPr>
          <w:rFonts w:hint="eastAsia" w:ascii="仿宋" w:hAnsi="仿宋" w:eastAsia="仿宋" w:cs="仿宋"/>
          <w:sz w:val="24"/>
          <w:szCs w:val="24"/>
          <w:highlight w:val="none"/>
        </w:rPr>
        <w:t>电缆试验、电缆检测</w:t>
      </w:r>
      <w:r>
        <w:rPr>
          <w:rFonts w:hint="eastAsia" w:ascii="仿宋" w:hAnsi="仿宋" w:eastAsia="仿宋" w:cs="仿宋"/>
          <w:color w:val="000000"/>
          <w:sz w:val="24"/>
          <w:szCs w:val="24"/>
          <w:highlight w:val="none"/>
        </w:rPr>
        <w:t>（详见工程量清单）</w:t>
      </w:r>
    </w:p>
    <w:p w14:paraId="21F2D6F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b/>
          <w:bCs/>
          <w:sz w:val="24"/>
          <w:szCs w:val="24"/>
          <w:highlight w:val="none"/>
        </w:rPr>
      </w:pPr>
      <w:r>
        <w:rPr>
          <w:rFonts w:hint="eastAsia" w:ascii="黑体" w:hAnsi="黑体" w:eastAsia="黑体" w:cs="宋体"/>
          <w:b/>
          <w:bCs/>
          <w:color w:val="000000"/>
          <w:sz w:val="24"/>
          <w:szCs w:val="24"/>
          <w:highlight w:val="none"/>
        </w:rPr>
        <w:t xml:space="preserve">二、工期要求 </w:t>
      </w:r>
    </w:p>
    <w:p w14:paraId="082881C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自合同签订并接采购人进场通知之日起5天内完成,具体开工日期以甲方通知为准。除人力不可抗拒及不可预见的因素外，一律不得顺延。</w:t>
      </w:r>
    </w:p>
    <w:p w14:paraId="118E2B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三、投标人资格要求</w:t>
      </w:r>
    </w:p>
    <w:p w14:paraId="42C22AE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1.具有独立法人资格，各投标人不得有企业关联或股权关系。</w:t>
      </w:r>
    </w:p>
    <w:p w14:paraId="3FCC71A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2.具有承装（修、试）电力设施许可证，承试类四级及以上企业资质，并具有有效期内的安全生产许可证。</w:t>
      </w:r>
    </w:p>
    <w:p w14:paraId="2A7A277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b/>
          <w:bCs/>
          <w:sz w:val="24"/>
          <w:szCs w:val="24"/>
          <w:highlight w:val="none"/>
        </w:rPr>
      </w:pPr>
      <w:r>
        <w:rPr>
          <w:rFonts w:hint="eastAsia" w:ascii="黑体" w:hAnsi="黑体" w:eastAsia="黑体" w:cs="宋体"/>
          <w:b/>
          <w:bCs/>
          <w:color w:val="000000"/>
          <w:sz w:val="24"/>
          <w:szCs w:val="24"/>
          <w:highlight w:val="none"/>
        </w:rPr>
        <w:t xml:space="preserve">四、质量标准 </w:t>
      </w:r>
    </w:p>
    <w:p w14:paraId="2087F6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274B0AB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08DD001E">
      <w:pPr>
        <w:keepNext w:val="0"/>
        <w:keepLines w:val="0"/>
        <w:pageBreakBefore w:val="0"/>
        <w:widowControl w:val="0"/>
        <w:kinsoku/>
        <w:wordWrap/>
        <w:overflowPunct/>
        <w:topLinePunct w:val="0"/>
        <w:autoSpaceDE/>
        <w:autoSpaceDN/>
        <w:bidi w:val="0"/>
        <w:adjustRightInd/>
        <w:snapToGrid/>
        <w:spacing w:after="0" w:line="560" w:lineRule="exact"/>
        <w:textAlignment w:val="auto"/>
        <w:rPr>
          <w:b/>
          <w:bCs/>
          <w:sz w:val="24"/>
          <w:szCs w:val="24"/>
          <w:highlight w:val="none"/>
        </w:rPr>
      </w:pPr>
      <w:r>
        <w:rPr>
          <w:rFonts w:hint="eastAsia" w:ascii="黑体" w:hAnsi="黑体" w:eastAsia="黑体" w:cs="宋体"/>
          <w:b/>
          <w:bCs/>
          <w:color w:val="000000"/>
          <w:sz w:val="24"/>
          <w:szCs w:val="24"/>
          <w:highlight w:val="none"/>
        </w:rPr>
        <w:t>五、</w:t>
      </w:r>
      <w:r>
        <w:rPr>
          <w:rFonts w:ascii="黑体" w:hAnsi="黑体" w:eastAsia="黑体" w:cs="宋体"/>
          <w:b/>
          <w:bCs/>
          <w:color w:val="000000"/>
          <w:sz w:val="24"/>
          <w:szCs w:val="24"/>
          <w:highlight w:val="none"/>
        </w:rPr>
        <w:t>技术标准和施工要求</w:t>
      </w:r>
      <w:r>
        <w:rPr>
          <w:b/>
          <w:bCs/>
          <w:sz w:val="24"/>
          <w:szCs w:val="24"/>
          <w:highlight w:val="none"/>
        </w:rPr>
        <w:t xml:space="preserve"> </w:t>
      </w:r>
    </w:p>
    <w:p w14:paraId="68999DA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w:t>
      </w:r>
      <w:r>
        <w:rPr>
          <w:rFonts w:ascii="仿宋" w:hAnsi="仿宋" w:eastAsia="仿宋" w:cs="宋体"/>
          <w:color w:val="000000"/>
          <w:sz w:val="24"/>
          <w:szCs w:val="24"/>
          <w:highlight w:val="none"/>
        </w:rPr>
        <w:t>本工程应按国家、建设部、工程施工技术（验收）规程、规范标准施工。</w:t>
      </w:r>
    </w:p>
    <w:p w14:paraId="47DF393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r>
        <w:rPr>
          <w:rFonts w:ascii="仿宋" w:hAnsi="仿宋" w:eastAsia="仿宋" w:cs="宋体"/>
          <w:color w:val="000000"/>
          <w:sz w:val="24"/>
          <w:szCs w:val="24"/>
          <w:highlight w:val="none"/>
        </w:rPr>
        <w:t xml:space="preserve">严格按照施工图纸、工程量清单及有关技术要求、文件、资料进行施工。 </w:t>
      </w:r>
    </w:p>
    <w:p w14:paraId="7B7045F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b/>
          <w:bCs/>
          <w:color w:val="000000"/>
          <w:sz w:val="24"/>
          <w:szCs w:val="24"/>
          <w:highlight w:val="none"/>
        </w:rPr>
      </w:pPr>
      <w:r>
        <w:rPr>
          <w:rFonts w:hint="eastAsia" w:ascii="黑体" w:hAnsi="黑体" w:eastAsia="黑体" w:cs="宋体"/>
          <w:b/>
          <w:bCs/>
          <w:color w:val="000000"/>
          <w:sz w:val="24"/>
          <w:szCs w:val="24"/>
          <w:highlight w:val="none"/>
        </w:rPr>
        <w:t>六、付款及结算方式</w:t>
      </w:r>
    </w:p>
    <w:p w14:paraId="248CB70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1.固定总价，工程量一次性包死。</w:t>
      </w:r>
    </w:p>
    <w:p w14:paraId="324A3DE6">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乙方试验完成并出具试验合格报告后，根据国家现行税率向甲方开具结算值等额增值税专用发票，甲方向乙方支付全部工程费用，如乙方迟延开具发票，则甲方有权延迟付款。最终各节点付款时间结合甲方财务状况确定。</w:t>
      </w:r>
    </w:p>
    <w:p w14:paraId="44DD37F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b/>
          <w:bCs/>
          <w:color w:val="000000"/>
          <w:sz w:val="24"/>
          <w:szCs w:val="24"/>
          <w:highlight w:val="none"/>
        </w:rPr>
      </w:pPr>
      <w:r>
        <w:rPr>
          <w:rFonts w:hint="eastAsia" w:ascii="黑体" w:hAnsi="黑体" w:eastAsia="黑体"/>
          <w:b/>
          <w:bCs/>
          <w:color w:val="000000"/>
          <w:sz w:val="24"/>
          <w:szCs w:val="24"/>
          <w:highlight w:val="none"/>
        </w:rPr>
        <w:t>七、</w:t>
      </w:r>
      <w:r>
        <w:rPr>
          <w:rFonts w:hint="eastAsia" w:ascii="黑体" w:hAnsi="黑体" w:eastAsia="黑体" w:cs="Times New Roman"/>
          <w:b/>
          <w:bCs/>
          <w:color w:val="000000"/>
          <w:sz w:val="24"/>
          <w:szCs w:val="24"/>
          <w:highlight w:val="none"/>
        </w:rPr>
        <w:t>安全文明施工</w:t>
      </w:r>
    </w:p>
    <w:p w14:paraId="17D3336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安全目标：杜绝死亡、重伤负伤事故。承包人在施工期间，应严格执行国家、山东省和青岛市有关建设工程安全、文明施工的规定。</w:t>
      </w:r>
    </w:p>
    <w:p w14:paraId="7FC05AD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b/>
          <w:bCs/>
          <w:color w:val="000000"/>
          <w:sz w:val="24"/>
          <w:szCs w:val="24"/>
          <w:highlight w:val="none"/>
        </w:rPr>
      </w:pPr>
      <w:r>
        <w:rPr>
          <w:rFonts w:hint="eastAsia" w:ascii="黑体" w:hAnsi="黑体" w:eastAsia="黑体"/>
          <w:b/>
          <w:bCs/>
          <w:color w:val="000000"/>
          <w:sz w:val="24"/>
          <w:szCs w:val="24"/>
          <w:highlight w:val="none"/>
        </w:rPr>
        <w:t>八、工程量清单</w:t>
      </w:r>
    </w:p>
    <w:tbl>
      <w:tblPr>
        <w:tblStyle w:val="27"/>
        <w:tblW w:w="8518" w:type="dxa"/>
        <w:tblInd w:w="95" w:type="dxa"/>
        <w:tblLayout w:type="fixed"/>
        <w:tblCellMar>
          <w:top w:w="0" w:type="dxa"/>
          <w:left w:w="108" w:type="dxa"/>
          <w:bottom w:w="0" w:type="dxa"/>
          <w:right w:w="108" w:type="dxa"/>
        </w:tblCellMar>
      </w:tblPr>
      <w:tblGrid>
        <w:gridCol w:w="463"/>
        <w:gridCol w:w="2990"/>
        <w:gridCol w:w="1045"/>
        <w:gridCol w:w="1012"/>
        <w:gridCol w:w="1392"/>
        <w:gridCol w:w="1616"/>
      </w:tblGrid>
      <w:tr w14:paraId="48E37AD2">
        <w:tblPrEx>
          <w:tblCellMar>
            <w:top w:w="0" w:type="dxa"/>
            <w:left w:w="108" w:type="dxa"/>
            <w:bottom w:w="0" w:type="dxa"/>
            <w:right w:w="108" w:type="dxa"/>
          </w:tblCellMar>
        </w:tblPrEx>
        <w:trPr>
          <w:trHeight w:val="255" w:hRule="atLeast"/>
        </w:trPr>
        <w:tc>
          <w:tcPr>
            <w:tcW w:w="8518" w:type="dxa"/>
            <w:gridSpan w:val="6"/>
            <w:tcBorders>
              <w:top w:val="nil"/>
              <w:left w:val="nil"/>
              <w:bottom w:val="nil"/>
              <w:right w:val="nil"/>
            </w:tcBorders>
            <w:shd w:val="clear" w:color="auto" w:fill="auto"/>
            <w:vAlign w:val="center"/>
          </w:tcPr>
          <w:p w14:paraId="75E273E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工程名称:</w:t>
            </w:r>
            <w:r>
              <w:rPr>
                <w:rFonts w:hint="eastAsia" w:ascii="仿宋" w:hAnsi="仿宋" w:eastAsia="仿宋" w:cs="仿宋"/>
                <w:sz w:val="24"/>
                <w:szCs w:val="24"/>
                <w:highlight w:val="none"/>
              </w:rPr>
              <w:t xml:space="preserve"> </w:t>
            </w:r>
            <w:r>
              <w:rPr>
                <w:rFonts w:hint="eastAsia" w:ascii="仿宋" w:hAnsi="仿宋" w:eastAsia="仿宋" w:cs="仿宋"/>
                <w:color w:val="000000"/>
                <w:sz w:val="24"/>
                <w:szCs w:val="24"/>
                <w:highlight w:val="none"/>
              </w:rPr>
              <w:t>高新区35KV上康甲线线路抢修工程（电缆试验、电缆检测）</w:t>
            </w:r>
          </w:p>
        </w:tc>
      </w:tr>
      <w:tr w14:paraId="4F9BF3CC">
        <w:tblPrEx>
          <w:tblCellMar>
            <w:top w:w="0" w:type="dxa"/>
            <w:left w:w="108" w:type="dxa"/>
            <w:bottom w:w="0" w:type="dxa"/>
            <w:right w:w="108" w:type="dxa"/>
          </w:tblCellMar>
        </w:tblPrEx>
        <w:trPr>
          <w:trHeight w:val="380"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0A70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序号</w:t>
            </w:r>
          </w:p>
        </w:tc>
        <w:tc>
          <w:tcPr>
            <w:tcW w:w="2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EC8E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项目名称</w:t>
            </w:r>
            <w:r>
              <w:rPr>
                <w:rFonts w:hint="eastAsia" w:ascii="仿宋" w:hAnsi="仿宋" w:eastAsia="仿宋" w:cs="仿宋"/>
                <w:b/>
                <w:bCs/>
                <w:color w:val="000000"/>
                <w:sz w:val="24"/>
                <w:szCs w:val="24"/>
                <w:highlight w:val="none"/>
              </w:rPr>
              <w:br w:type="textWrapping"/>
            </w:r>
            <w:r>
              <w:rPr>
                <w:rFonts w:hint="eastAsia" w:ascii="仿宋" w:hAnsi="仿宋" w:eastAsia="仿宋" w:cs="仿宋"/>
                <w:b/>
                <w:bCs/>
                <w:color w:val="000000"/>
                <w:sz w:val="24"/>
                <w:szCs w:val="24"/>
                <w:highlight w:val="none"/>
              </w:rPr>
              <w:t>项目特征</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DF5A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计量</w:t>
            </w:r>
            <w:r>
              <w:rPr>
                <w:rFonts w:hint="eastAsia" w:ascii="仿宋" w:hAnsi="仿宋" w:eastAsia="仿宋" w:cs="仿宋"/>
                <w:b/>
                <w:bCs/>
                <w:color w:val="000000"/>
                <w:sz w:val="24"/>
                <w:szCs w:val="24"/>
                <w:highlight w:val="none"/>
              </w:rPr>
              <w:br w:type="textWrapping"/>
            </w:r>
            <w:r>
              <w:rPr>
                <w:rFonts w:hint="eastAsia" w:ascii="仿宋" w:hAnsi="仿宋" w:eastAsia="仿宋" w:cs="仿宋"/>
                <w:b/>
                <w:bCs/>
                <w:color w:val="000000"/>
                <w:sz w:val="24"/>
                <w:szCs w:val="24"/>
                <w:highlight w:val="none"/>
              </w:rPr>
              <w:t>单位</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E8FF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工程量</w:t>
            </w:r>
          </w:p>
        </w:tc>
        <w:tc>
          <w:tcPr>
            <w:tcW w:w="3008" w:type="dxa"/>
            <w:gridSpan w:val="2"/>
            <w:tcBorders>
              <w:top w:val="single" w:color="000000" w:sz="4" w:space="0"/>
              <w:left w:val="nil"/>
              <w:bottom w:val="single" w:color="000000" w:sz="4" w:space="0"/>
              <w:right w:val="single" w:color="000000" w:sz="4" w:space="0"/>
            </w:tcBorders>
            <w:shd w:val="clear" w:color="auto" w:fill="auto"/>
            <w:vAlign w:val="center"/>
          </w:tcPr>
          <w:p w14:paraId="2268D22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金额（元）</w:t>
            </w:r>
          </w:p>
        </w:tc>
      </w:tr>
      <w:tr w14:paraId="0F6CFA42">
        <w:tblPrEx>
          <w:tblCellMar>
            <w:top w:w="0" w:type="dxa"/>
            <w:left w:w="108" w:type="dxa"/>
            <w:bottom w:w="0" w:type="dxa"/>
            <w:right w:w="108" w:type="dxa"/>
          </w:tblCellMar>
        </w:tblPrEx>
        <w:trPr>
          <w:trHeight w:val="380" w:hRule="atLeast"/>
        </w:trPr>
        <w:tc>
          <w:tcPr>
            <w:tcW w:w="463" w:type="dxa"/>
            <w:vMerge w:val="continue"/>
            <w:tcBorders>
              <w:top w:val="single" w:color="000000" w:sz="4" w:space="0"/>
              <w:left w:val="single" w:color="000000" w:sz="4" w:space="0"/>
              <w:bottom w:val="single" w:color="000000" w:sz="4" w:space="0"/>
              <w:right w:val="single" w:color="000000" w:sz="4" w:space="0"/>
            </w:tcBorders>
            <w:vAlign w:val="center"/>
          </w:tcPr>
          <w:p w14:paraId="042F748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2990" w:type="dxa"/>
            <w:vMerge w:val="continue"/>
            <w:tcBorders>
              <w:top w:val="single" w:color="000000" w:sz="4" w:space="0"/>
              <w:left w:val="single" w:color="000000" w:sz="4" w:space="0"/>
              <w:bottom w:val="single" w:color="000000" w:sz="4" w:space="0"/>
              <w:right w:val="single" w:color="000000" w:sz="4" w:space="0"/>
            </w:tcBorders>
            <w:vAlign w:val="center"/>
          </w:tcPr>
          <w:p w14:paraId="3B4B32C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1045" w:type="dxa"/>
            <w:vMerge w:val="continue"/>
            <w:tcBorders>
              <w:top w:val="single" w:color="000000" w:sz="4" w:space="0"/>
              <w:left w:val="single" w:color="000000" w:sz="4" w:space="0"/>
              <w:bottom w:val="single" w:color="000000" w:sz="4" w:space="0"/>
              <w:right w:val="single" w:color="000000" w:sz="4" w:space="0"/>
            </w:tcBorders>
            <w:vAlign w:val="center"/>
          </w:tcPr>
          <w:p w14:paraId="74076C7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3EE7235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9EFA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控制单价</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936B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控制价合计</w:t>
            </w:r>
          </w:p>
        </w:tc>
      </w:tr>
      <w:tr w14:paraId="6CE4C636">
        <w:tblPrEx>
          <w:tblCellMar>
            <w:top w:w="0" w:type="dxa"/>
            <w:left w:w="108" w:type="dxa"/>
            <w:bottom w:w="0" w:type="dxa"/>
            <w:right w:w="108" w:type="dxa"/>
          </w:tblCellMar>
        </w:tblPrEx>
        <w:trPr>
          <w:trHeight w:val="420" w:hRule="atLeast"/>
        </w:trPr>
        <w:tc>
          <w:tcPr>
            <w:tcW w:w="463" w:type="dxa"/>
            <w:vMerge w:val="continue"/>
            <w:tcBorders>
              <w:top w:val="single" w:color="000000" w:sz="4" w:space="0"/>
              <w:left w:val="single" w:color="000000" w:sz="4" w:space="0"/>
              <w:bottom w:val="single" w:color="000000" w:sz="4" w:space="0"/>
              <w:right w:val="single" w:color="000000" w:sz="4" w:space="0"/>
            </w:tcBorders>
            <w:vAlign w:val="center"/>
          </w:tcPr>
          <w:p w14:paraId="39FFF7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2990" w:type="dxa"/>
            <w:vMerge w:val="continue"/>
            <w:tcBorders>
              <w:top w:val="single" w:color="000000" w:sz="4" w:space="0"/>
              <w:left w:val="single" w:color="000000" w:sz="4" w:space="0"/>
              <w:bottom w:val="single" w:color="000000" w:sz="4" w:space="0"/>
              <w:right w:val="single" w:color="000000" w:sz="4" w:space="0"/>
            </w:tcBorders>
            <w:vAlign w:val="center"/>
          </w:tcPr>
          <w:p w14:paraId="54EFF03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1045" w:type="dxa"/>
            <w:vMerge w:val="continue"/>
            <w:tcBorders>
              <w:top w:val="single" w:color="000000" w:sz="4" w:space="0"/>
              <w:left w:val="single" w:color="000000" w:sz="4" w:space="0"/>
              <w:bottom w:val="single" w:color="000000" w:sz="4" w:space="0"/>
              <w:right w:val="single" w:color="000000" w:sz="4" w:space="0"/>
            </w:tcBorders>
            <w:vAlign w:val="center"/>
          </w:tcPr>
          <w:p w14:paraId="17FC2F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7279E0C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vAlign w:val="center"/>
          </w:tcPr>
          <w:p w14:paraId="0335349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1E6535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color w:val="000000"/>
                <w:sz w:val="24"/>
                <w:szCs w:val="24"/>
                <w:highlight w:val="none"/>
              </w:rPr>
            </w:pPr>
          </w:p>
        </w:tc>
      </w:tr>
      <w:tr w14:paraId="684F4F45">
        <w:tblPrEx>
          <w:tblCellMar>
            <w:top w:w="0" w:type="dxa"/>
            <w:left w:w="108" w:type="dxa"/>
            <w:bottom w:w="0" w:type="dxa"/>
            <w:right w:w="108" w:type="dxa"/>
          </w:tblCellMar>
        </w:tblPrEx>
        <w:trPr>
          <w:trHeight w:val="67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7E6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E3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高新区35KV上康甲线线路抢修工程（电缆试验、电缆检测）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909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5B5A">
            <w:pPr>
              <w:keepNext w:val="0"/>
              <w:keepLines w:val="0"/>
              <w:pageBreakBefore w:val="0"/>
              <w:widowControl w:val="0"/>
              <w:kinsoku/>
              <w:wordWrap/>
              <w:overflowPunct/>
              <w:topLinePunct w:val="0"/>
              <w:autoSpaceDE/>
              <w:autoSpaceDN/>
              <w:bidi w:val="0"/>
              <w:adjustRightInd/>
              <w:snapToGrid/>
              <w:spacing w:after="0" w:line="560" w:lineRule="exact"/>
              <w:jc w:val="right"/>
              <w:textAlignment w:val="auto"/>
              <w:rPr>
                <w:rFonts w:hint="eastAsia" w:ascii="仿宋" w:hAnsi="仿宋" w:eastAsia="仿宋" w:cs="仿宋"/>
                <w:color w:val="000000"/>
                <w:sz w:val="24"/>
                <w:szCs w:val="24"/>
                <w:highlight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A8F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6A3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p>
        </w:tc>
      </w:tr>
      <w:tr w14:paraId="3B1A94A7">
        <w:tblPrEx>
          <w:tblCellMar>
            <w:top w:w="0" w:type="dxa"/>
            <w:left w:w="108" w:type="dxa"/>
            <w:bottom w:w="0" w:type="dxa"/>
            <w:right w:w="108" w:type="dxa"/>
          </w:tblCellMar>
        </w:tblPrEx>
        <w:trPr>
          <w:trHeight w:val="6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217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C6B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ZC-YJV22-26/35-3*400电缆耐压试验</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8BF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回路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C71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329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29783.33 </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B35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148916.65 </w:t>
            </w:r>
          </w:p>
        </w:tc>
      </w:tr>
      <w:tr w14:paraId="156D5C35">
        <w:tblPrEx>
          <w:tblCellMar>
            <w:top w:w="0" w:type="dxa"/>
            <w:left w:w="108" w:type="dxa"/>
            <w:bottom w:w="0" w:type="dxa"/>
            <w:right w:w="108" w:type="dxa"/>
          </w:tblCellMar>
        </w:tblPrEx>
        <w:trPr>
          <w:trHeight w:val="7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572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E42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电缆故障检测排查</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0B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处</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C0E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564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13666.67 </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760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27333.34 </w:t>
            </w:r>
          </w:p>
        </w:tc>
      </w:tr>
      <w:tr w14:paraId="08873F12">
        <w:tblPrEx>
          <w:tblCellMar>
            <w:top w:w="0" w:type="dxa"/>
            <w:left w:w="108" w:type="dxa"/>
            <w:bottom w:w="0" w:type="dxa"/>
            <w:right w:w="108" w:type="dxa"/>
          </w:tblCellMar>
        </w:tblPrEx>
        <w:trPr>
          <w:trHeight w:val="7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99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3E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小计</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7CA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752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A9E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FCC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176249.99 </w:t>
            </w:r>
          </w:p>
        </w:tc>
      </w:tr>
      <w:tr w14:paraId="4E4347A6">
        <w:tblPrEx>
          <w:tblCellMar>
            <w:top w:w="0" w:type="dxa"/>
            <w:left w:w="108" w:type="dxa"/>
            <w:bottom w:w="0" w:type="dxa"/>
            <w:right w:w="108" w:type="dxa"/>
          </w:tblCellMar>
        </w:tblPrEx>
        <w:trPr>
          <w:trHeight w:val="259" w:hRule="atLeast"/>
        </w:trPr>
        <w:tc>
          <w:tcPr>
            <w:tcW w:w="8518" w:type="dxa"/>
            <w:gridSpan w:val="6"/>
            <w:vMerge w:val="restart"/>
            <w:tcBorders>
              <w:top w:val="nil"/>
              <w:left w:val="nil"/>
              <w:bottom w:val="nil"/>
              <w:right w:val="nil"/>
            </w:tcBorders>
            <w:shd w:val="clear" w:color="auto" w:fill="auto"/>
          </w:tcPr>
          <w:p w14:paraId="697CC08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本清单控制价中的单价为完成清单及采购施工方案范围内所需的人工费、材料费、设备费、机械费、管理费、利润、其它规费及税金（其中增值税税率为6%）、风险费、保险费、工程验收等费用。已考虑本工程所有责任、义务及不可抗力以外的风险因素等所发生的费用，除本工程合同约定外，投标人不得再向招标人主张任何其他费用和权利。</w:t>
            </w:r>
          </w:p>
        </w:tc>
      </w:tr>
      <w:tr w14:paraId="16565B81">
        <w:tblPrEx>
          <w:tblCellMar>
            <w:top w:w="0" w:type="dxa"/>
            <w:left w:w="108" w:type="dxa"/>
            <w:bottom w:w="0" w:type="dxa"/>
            <w:right w:w="108" w:type="dxa"/>
          </w:tblCellMar>
        </w:tblPrEx>
        <w:trPr>
          <w:trHeight w:val="880" w:hRule="atLeast"/>
        </w:trPr>
        <w:tc>
          <w:tcPr>
            <w:tcW w:w="8518" w:type="dxa"/>
            <w:gridSpan w:val="6"/>
            <w:vMerge w:val="continue"/>
            <w:tcBorders>
              <w:top w:val="nil"/>
              <w:left w:val="nil"/>
              <w:bottom w:val="nil"/>
              <w:right w:val="nil"/>
            </w:tcBorders>
            <w:vAlign w:val="center"/>
          </w:tcPr>
          <w:p w14:paraId="05ADCCD5">
            <w:pPr>
              <w:adjustRightInd/>
              <w:snapToGrid/>
              <w:spacing w:after="0"/>
              <w:rPr>
                <w:rFonts w:hint="eastAsia" w:ascii="仿宋" w:hAnsi="仿宋" w:eastAsia="仿宋" w:cs="仿宋"/>
                <w:color w:val="000000"/>
                <w:sz w:val="24"/>
                <w:szCs w:val="24"/>
                <w:highlight w:val="none"/>
              </w:rPr>
            </w:pPr>
          </w:p>
        </w:tc>
      </w:tr>
    </w:tbl>
    <w:p w14:paraId="7C378771">
      <w:pPr>
        <w:adjustRightInd/>
        <w:snapToGrid/>
        <w:spacing w:after="0"/>
        <w:rPr>
          <w:rFonts w:hint="eastAsia" w:ascii="黑体" w:hAnsi="黑体" w:eastAsia="黑体" w:cs="Times New Roman"/>
          <w:color w:val="000000"/>
          <w:sz w:val="32"/>
          <w:szCs w:val="32"/>
          <w:highlight w:val="none"/>
        </w:rPr>
      </w:pPr>
    </w:p>
    <w:p w14:paraId="186BB022">
      <w:pPr>
        <w:adjustRightInd/>
        <w:snapToGrid/>
        <w:spacing w:after="0"/>
        <w:rPr>
          <w:rFonts w:hint="eastAsia" w:ascii="黑体" w:hAnsi="黑体" w:eastAsia="黑体" w:cs="Times New Roman"/>
          <w:color w:val="000000"/>
          <w:sz w:val="32"/>
          <w:szCs w:val="32"/>
          <w:highlight w:val="none"/>
        </w:rPr>
      </w:pPr>
    </w:p>
    <w:p w14:paraId="7D5864E3">
      <w:pPr>
        <w:adjustRightInd/>
        <w:snapToGrid/>
        <w:spacing w:after="0"/>
        <w:ind w:firstLine="640" w:firstLineChars="200"/>
        <w:rPr>
          <w:rFonts w:hint="eastAsia" w:ascii="黑体" w:hAnsi="黑体" w:eastAsia="黑体" w:cs="Times New Roman"/>
          <w:color w:val="000000"/>
          <w:sz w:val="32"/>
          <w:szCs w:val="32"/>
          <w:highlight w:val="none"/>
        </w:rPr>
      </w:pPr>
    </w:p>
    <w:p w14:paraId="76541370">
      <w:pPr>
        <w:rPr>
          <w:rFonts w:ascii="仿宋" w:hAnsi="仿宋" w:eastAsia="仿宋"/>
          <w:b/>
          <w:sz w:val="28"/>
          <w:szCs w:val="28"/>
          <w:highlight w:val="none"/>
        </w:rPr>
      </w:pPr>
      <w:r>
        <w:rPr>
          <w:rFonts w:ascii="仿宋" w:hAnsi="仿宋" w:eastAsia="仿宋"/>
          <w:b/>
          <w:sz w:val="28"/>
          <w:szCs w:val="28"/>
          <w:highlight w:val="none"/>
        </w:rPr>
        <w:br w:type="page"/>
      </w:r>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rPr>
        <w:t>投标活动前</w:t>
      </w:r>
      <w:r>
        <w:rPr>
          <w:rFonts w:ascii="仿宋" w:hAnsi="仿宋" w:eastAsia="仿宋"/>
          <w:sz w:val="24"/>
          <w:szCs w:val="24"/>
        </w:rPr>
        <w:t>3</w:t>
      </w:r>
      <w:r>
        <w:rPr>
          <w:rFonts w:hint="eastAsia" w:ascii="仿宋" w:hAnsi="仿宋" w:eastAsia="仿宋"/>
          <w:sz w:val="24"/>
          <w:szCs w:val="24"/>
        </w:rPr>
        <w:t>年内，我方被公开披露或查处的违法违规行为有：</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w:t>
      </w:r>
      <w:r>
        <w:rPr>
          <w:rFonts w:hint="eastAsia" w:ascii="仿宋" w:hAnsi="仿宋" w:eastAsia="仿宋"/>
          <w:sz w:val="24"/>
          <w:szCs w:val="24"/>
          <w:u w:val="single"/>
          <w:lang w:val="en-US" w:eastAsia="zh-CN"/>
        </w:rPr>
        <w:t xml:space="preserve">              </w:t>
      </w:r>
      <w:r>
        <w:rPr>
          <w:rFonts w:hint="eastAsia" w:ascii="仿宋" w:hAnsi="仿宋" w:eastAsia="仿宋"/>
          <w:sz w:val="24"/>
          <w:szCs w:val="24"/>
        </w:rPr>
        <w:t>、组织机构代码证或统一社会信用代码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；②法定代表人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；③项目负责人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rPr>
        <w:t>投标人：</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备注：1.投标人没有被公开披露或查处违法违规行为的，注明“无”即可。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2.招标文件未要求项目负责人的，项目负责人一栏可删除。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0E4688F9">
      <w:pPr>
        <w:spacing w:line="440" w:lineRule="exact"/>
        <w:jc w:val="center"/>
        <w:rPr>
          <w:rFonts w:ascii="仿宋" w:hAnsi="仿宋" w:eastAsia="仿宋" w:cs="仿宋"/>
          <w:sz w:val="28"/>
          <w:szCs w:val="28"/>
        </w:rPr>
      </w:pPr>
      <w:bookmarkStart w:id="3" w:name="_Toc247527831"/>
      <w:bookmarkStart w:id="4" w:name="_Toc152045791"/>
      <w:bookmarkStart w:id="5" w:name="_Toc247514283"/>
      <w:bookmarkStart w:id="6" w:name="_Toc152042580"/>
      <w:bookmarkStart w:id="7" w:name="_Toc300835213"/>
      <w:bookmarkStart w:id="8" w:name="_Toc144974860"/>
      <w:r>
        <w:rPr>
          <w:rFonts w:hint="eastAsia" w:ascii="仿宋" w:hAnsi="仿宋" w:eastAsia="仿宋" w:cs="仿宋"/>
          <w:sz w:val="28"/>
          <w:szCs w:val="28"/>
        </w:rPr>
        <w:t>法定代表人身份证明</w:t>
      </w:r>
      <w:bookmarkEnd w:id="3"/>
      <w:bookmarkEnd w:id="4"/>
      <w:bookmarkEnd w:id="5"/>
      <w:bookmarkEnd w:id="6"/>
      <w:bookmarkEnd w:id="7"/>
      <w:bookmarkEnd w:id="8"/>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rPr>
        <w:t>投标人名称：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投标人：（公章）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年月 日           </w:t>
      </w:r>
    </w:p>
    <w:p w14:paraId="6732C34F">
      <w:pPr>
        <w:widowControl/>
        <w:autoSpaceDE w:val="0"/>
        <w:autoSpaceDN w:val="0"/>
        <w:adjustRightInd w:val="0"/>
        <w:spacing w:line="460" w:lineRule="exact"/>
        <w:rPr>
          <w:rStyle w:val="50"/>
          <w:rFonts w:cs="仿宋"/>
          <w:sz w:val="24"/>
          <w:szCs w:val="24"/>
        </w:rPr>
      </w:pPr>
      <w:r>
        <w:rPr>
          <w:rStyle w:val="50"/>
          <w:rFonts w:hint="eastAsia" w:cs="仿宋"/>
          <w:sz w:val="24"/>
          <w:szCs w:val="24"/>
        </w:rPr>
        <w:br w:type="page"/>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（招标人）  </w:t>
      </w:r>
      <w:r>
        <w:rPr>
          <w:rStyle w:val="50"/>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我</w:t>
      </w:r>
      <w:r>
        <w:rPr>
          <w:rFonts w:hint="eastAsia" w:ascii="仿宋" w:hAnsi="仿宋" w:eastAsia="仿宋" w:cs="仿宋"/>
          <w:kern w:val="1"/>
          <w:sz w:val="24"/>
          <w:szCs w:val="24"/>
          <w:u w:val="single"/>
        </w:rPr>
        <w:t xml:space="preserve">   （姓名） </w:t>
      </w:r>
      <w:r>
        <w:rPr>
          <w:rStyle w:val="50"/>
          <w:rFonts w:hint="eastAsia" w:cs="仿宋"/>
          <w:sz w:val="24"/>
          <w:szCs w:val="24"/>
        </w:rPr>
        <w:t>系</w:t>
      </w:r>
      <w:r>
        <w:rPr>
          <w:rFonts w:hint="eastAsia" w:ascii="仿宋" w:hAnsi="仿宋" w:eastAsia="仿宋" w:cs="仿宋"/>
          <w:kern w:val="1"/>
          <w:sz w:val="24"/>
          <w:szCs w:val="24"/>
          <w:u w:val="single"/>
        </w:rPr>
        <w:t xml:space="preserve">    （投标人名称）</w:t>
      </w:r>
      <w:r>
        <w:rPr>
          <w:rStyle w:val="50"/>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0"/>
          <w:rFonts w:hint="eastAsia" w:cs="仿宋"/>
          <w:sz w:val="24"/>
          <w:szCs w:val="24"/>
        </w:rPr>
        <w:t>为我公司本次项目的授权代表，代表我方办理本次投标、签约等相关事宜，签署全部有关的文件、协议、合同并具有法律效力。</w:t>
      </w:r>
    </w:p>
    <w:p w14:paraId="5FFA66A9">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本授权委托书于</w:t>
      </w:r>
      <w:r>
        <w:rPr>
          <w:rStyle w:val="50"/>
          <w:rFonts w:hint="eastAsia" w:eastAsia="仿宋" w:cs="仿宋"/>
          <w:sz w:val="24"/>
          <w:szCs w:val="24"/>
          <w:u w:val="single"/>
          <w:lang w:val="en-US" w:eastAsia="zh-CN"/>
        </w:rPr>
        <w:t xml:space="preserve">     </w:t>
      </w:r>
      <w:r>
        <w:rPr>
          <w:rStyle w:val="50"/>
          <w:rFonts w:hint="eastAsia" w:cs="仿宋"/>
          <w:sz w:val="24"/>
          <w:szCs w:val="24"/>
        </w:rPr>
        <w:t>年</w:t>
      </w:r>
      <w:r>
        <w:rPr>
          <w:rStyle w:val="50"/>
          <w:rFonts w:hint="eastAsia" w:eastAsia="仿宋" w:cs="仿宋"/>
          <w:sz w:val="24"/>
          <w:szCs w:val="24"/>
          <w:u w:val="single"/>
          <w:lang w:val="en-US" w:eastAsia="zh-CN"/>
        </w:rPr>
        <w:t xml:space="preserve">     </w:t>
      </w:r>
      <w:r>
        <w:rPr>
          <w:rStyle w:val="50"/>
          <w:rFonts w:hint="eastAsia" w:cs="仿宋"/>
          <w:sz w:val="24"/>
          <w:szCs w:val="24"/>
        </w:rPr>
        <w:t>月</w:t>
      </w:r>
      <w:r>
        <w:rPr>
          <w:rStyle w:val="50"/>
          <w:rFonts w:hint="eastAsia" w:eastAsia="仿宋" w:cs="仿宋"/>
          <w:sz w:val="24"/>
          <w:szCs w:val="24"/>
          <w:u w:val="single"/>
          <w:lang w:val="en-US" w:eastAsia="zh-CN"/>
        </w:rPr>
        <w:t xml:space="preserve">     </w:t>
      </w:r>
      <w:r>
        <w:rPr>
          <w:rStyle w:val="50"/>
          <w:rFonts w:hint="eastAsia" w:cs="仿宋"/>
          <w:sz w:val="24"/>
          <w:szCs w:val="24"/>
        </w:rPr>
        <w:t>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被授权代表姓名：             性 别：              年 龄：</w:t>
      </w:r>
    </w:p>
    <w:p w14:paraId="6411FAE6">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投标人（公章）：</w:t>
      </w:r>
    </w:p>
    <w:p w14:paraId="60EEAD84">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法定代表人（签字）：</w:t>
      </w:r>
    </w:p>
    <w:p w14:paraId="71139D8B">
      <w:pPr>
        <w:widowControl/>
        <w:autoSpaceDE w:val="0"/>
        <w:autoSpaceDN w:val="0"/>
        <w:adjustRightInd w:val="0"/>
        <w:ind w:right="-481" w:firstLine="5400"/>
        <w:rPr>
          <w:rStyle w:val="50"/>
          <w:rFonts w:cs="仿宋"/>
          <w:sz w:val="24"/>
          <w:szCs w:val="24"/>
        </w:rPr>
      </w:pPr>
    </w:p>
    <w:p w14:paraId="27CCEA4F">
      <w:pPr>
        <w:widowControl/>
        <w:autoSpaceDE w:val="0"/>
        <w:autoSpaceDN w:val="0"/>
        <w:adjustRightInd w:val="0"/>
        <w:ind w:right="-481" w:firstLine="5400"/>
        <w:rPr>
          <w:rStyle w:val="50"/>
          <w:rFonts w:cs="仿宋"/>
          <w:sz w:val="24"/>
          <w:szCs w:val="24"/>
        </w:rPr>
      </w:pPr>
      <w:r>
        <w:rPr>
          <w:rStyle w:val="50"/>
          <w:rFonts w:hint="eastAsia" w:cs="仿宋"/>
          <w:sz w:val="24"/>
          <w:szCs w:val="24"/>
        </w:rPr>
        <w:t>日 期：      年   月   日</w:t>
      </w:r>
    </w:p>
    <w:p w14:paraId="2DE809B6">
      <w:pPr>
        <w:widowControl/>
        <w:autoSpaceDE w:val="0"/>
        <w:autoSpaceDN w:val="0"/>
        <w:adjustRightInd w:val="0"/>
        <w:spacing w:line="360" w:lineRule="auto"/>
        <w:jc w:val="both"/>
        <w:rPr>
          <w:rFonts w:ascii="仿宋" w:hAnsi="仿宋" w:eastAsia="仿宋" w:cs="仿宋"/>
          <w:color w:val="000000"/>
          <w:szCs w:val="21"/>
        </w:rPr>
      </w:pPr>
      <w:bookmarkStart w:id="9" w:name="_GoBack"/>
      <w:bookmarkEnd w:id="9"/>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33</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AF5332"/>
    <w:rsid w:val="01DC6C89"/>
    <w:rsid w:val="0334789D"/>
    <w:rsid w:val="05B52C99"/>
    <w:rsid w:val="060A5E1C"/>
    <w:rsid w:val="06F55595"/>
    <w:rsid w:val="079914CF"/>
    <w:rsid w:val="08470D5B"/>
    <w:rsid w:val="093A12E4"/>
    <w:rsid w:val="0B903ADE"/>
    <w:rsid w:val="0C667EA6"/>
    <w:rsid w:val="0E986127"/>
    <w:rsid w:val="0F062495"/>
    <w:rsid w:val="0F447F1C"/>
    <w:rsid w:val="122136E2"/>
    <w:rsid w:val="12F40DF6"/>
    <w:rsid w:val="13053004"/>
    <w:rsid w:val="147F2942"/>
    <w:rsid w:val="156D4658"/>
    <w:rsid w:val="15CC04BD"/>
    <w:rsid w:val="19067AD5"/>
    <w:rsid w:val="19B018D7"/>
    <w:rsid w:val="19F1668A"/>
    <w:rsid w:val="1DCD6AB3"/>
    <w:rsid w:val="1E1C3003"/>
    <w:rsid w:val="225C2514"/>
    <w:rsid w:val="23405992"/>
    <w:rsid w:val="23E0478E"/>
    <w:rsid w:val="247A486B"/>
    <w:rsid w:val="24C43A2C"/>
    <w:rsid w:val="26C52111"/>
    <w:rsid w:val="27E76110"/>
    <w:rsid w:val="29134428"/>
    <w:rsid w:val="2AB9711D"/>
    <w:rsid w:val="2B2937A5"/>
    <w:rsid w:val="2B60487E"/>
    <w:rsid w:val="2BB102F6"/>
    <w:rsid w:val="2C941296"/>
    <w:rsid w:val="2DEF26D6"/>
    <w:rsid w:val="30C45E54"/>
    <w:rsid w:val="30C46FA8"/>
    <w:rsid w:val="32586854"/>
    <w:rsid w:val="367810B3"/>
    <w:rsid w:val="37E94405"/>
    <w:rsid w:val="3B466628"/>
    <w:rsid w:val="3F4516BE"/>
    <w:rsid w:val="3FDC63BD"/>
    <w:rsid w:val="408F1FDB"/>
    <w:rsid w:val="419158DF"/>
    <w:rsid w:val="455459C3"/>
    <w:rsid w:val="455F6E02"/>
    <w:rsid w:val="45D7020D"/>
    <w:rsid w:val="464507E7"/>
    <w:rsid w:val="485360C8"/>
    <w:rsid w:val="4B3C78A4"/>
    <w:rsid w:val="4C063CE7"/>
    <w:rsid w:val="4D904369"/>
    <w:rsid w:val="4E112440"/>
    <w:rsid w:val="4E2D31EF"/>
    <w:rsid w:val="4F2C11EB"/>
    <w:rsid w:val="506863A4"/>
    <w:rsid w:val="510C5E54"/>
    <w:rsid w:val="518B68B4"/>
    <w:rsid w:val="52216A9B"/>
    <w:rsid w:val="52427E13"/>
    <w:rsid w:val="531609B9"/>
    <w:rsid w:val="533B2535"/>
    <w:rsid w:val="53795887"/>
    <w:rsid w:val="537E3CF6"/>
    <w:rsid w:val="541360A4"/>
    <w:rsid w:val="549D3CDB"/>
    <w:rsid w:val="55B0164C"/>
    <w:rsid w:val="566869B1"/>
    <w:rsid w:val="57264039"/>
    <w:rsid w:val="592D6E08"/>
    <w:rsid w:val="59943EF2"/>
    <w:rsid w:val="59D759BB"/>
    <w:rsid w:val="59E1039E"/>
    <w:rsid w:val="5AB3403C"/>
    <w:rsid w:val="5ADE61AD"/>
    <w:rsid w:val="5B9A25B0"/>
    <w:rsid w:val="5C82428E"/>
    <w:rsid w:val="5F251B4F"/>
    <w:rsid w:val="5F455E33"/>
    <w:rsid w:val="5FAC475D"/>
    <w:rsid w:val="60FE1BA2"/>
    <w:rsid w:val="61446072"/>
    <w:rsid w:val="61E075AC"/>
    <w:rsid w:val="63314CFF"/>
    <w:rsid w:val="65261BDA"/>
    <w:rsid w:val="65A2780B"/>
    <w:rsid w:val="67674876"/>
    <w:rsid w:val="68D10094"/>
    <w:rsid w:val="69025CC1"/>
    <w:rsid w:val="69BB0E9B"/>
    <w:rsid w:val="6A2829D5"/>
    <w:rsid w:val="6AED3083"/>
    <w:rsid w:val="6B766832"/>
    <w:rsid w:val="6C2F5391"/>
    <w:rsid w:val="6CA16A6E"/>
    <w:rsid w:val="6D1B7060"/>
    <w:rsid w:val="702A0B29"/>
    <w:rsid w:val="70D0194C"/>
    <w:rsid w:val="719C7804"/>
    <w:rsid w:val="72FF629D"/>
    <w:rsid w:val="73DD76C0"/>
    <w:rsid w:val="7417077D"/>
    <w:rsid w:val="74452A91"/>
    <w:rsid w:val="74A803CF"/>
    <w:rsid w:val="75080D74"/>
    <w:rsid w:val="75583381"/>
    <w:rsid w:val="76447CCF"/>
    <w:rsid w:val="76D40B24"/>
    <w:rsid w:val="79B82C7C"/>
    <w:rsid w:val="7D9F519D"/>
    <w:rsid w:val="7EA65173"/>
    <w:rsid w:val="7EF02F3D"/>
    <w:rsid w:val="7F407407"/>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9593</Words>
  <Characters>10291</Characters>
  <Lines>124</Lines>
  <Paragraphs>34</Paragraphs>
  <TotalTime>5</TotalTime>
  <ScaleCrop>false</ScaleCrop>
  <LinksUpToDate>false</LinksUpToDate>
  <CharactersWithSpaces>11249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2025-06-18T00:49:00Z</cp:lastPrinted>
  <dcterms:modified xsi:type="dcterms:W3CDTF">2025-09-26T06:25:18Z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