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0779"/>
      <w:r>
        <w:rPr>
          <w:rFonts w:hint="eastAsia" w:ascii="黑体" w:hAnsi="黑体" w:eastAsia="黑体"/>
          <w:sz w:val="32"/>
          <w:szCs w:val="32"/>
          <w:highlight w:val="none"/>
        </w:rPr>
        <w:t xml:space="preserve"> 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高新区支十四号线（弘信路至广信路）道路及综合配套工程监控设备进行采购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项目名称：高新区支十四号线（弘信路至广信路）道路及综合配套工程监控设备采购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90936604"/>
      <w:bookmarkStart w:id="3" w:name="_Toc161911529"/>
      <w:bookmarkStart w:id="4" w:name="_Toc190866314"/>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eastAsia="zh-CN"/>
        </w:rPr>
        <w:t>详见采购清单。</w:t>
      </w:r>
    </w:p>
    <w:p w14:paraId="3206B1F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w:t>
      </w:r>
      <w:r>
        <w:rPr>
          <w:rFonts w:hint="eastAsia" w:cs="Times New Roman"/>
          <w:color w:val="auto"/>
          <w:kern w:val="2"/>
          <w:sz w:val="28"/>
          <w:szCs w:val="28"/>
          <w:highlight w:val="none"/>
          <w:lang w:val="en-US" w:eastAsia="zh-CN"/>
        </w:rPr>
        <w:t>82743.31</w:t>
      </w:r>
      <w:r>
        <w:rPr>
          <w:rFonts w:hint="eastAsia" w:cs="Times New Roman"/>
          <w:color w:val="auto"/>
          <w:kern w:val="2"/>
          <w:sz w:val="28"/>
          <w:szCs w:val="28"/>
          <w:highlight w:val="none"/>
        </w:rPr>
        <w:t>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宋体"/>
          <w:bCs/>
          <w:sz w:val="28"/>
          <w:szCs w:val="28"/>
          <w:highlight w:val="none"/>
          <w:lang w:eastAsia="zh-CN"/>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r>
        <w:rPr>
          <w:rFonts w:hint="eastAsia" w:ascii="仿宋" w:hAnsi="仿宋" w:eastAsia="仿宋" w:cs="宋体"/>
          <w:bCs/>
          <w:sz w:val="28"/>
          <w:szCs w:val="28"/>
          <w:highlight w:val="none"/>
          <w:lang w:eastAsia="zh-CN"/>
        </w:rPr>
        <w:t>，</w:t>
      </w:r>
      <w:r>
        <w:rPr>
          <w:rFonts w:hint="eastAsia" w:ascii="仿宋" w:hAnsi="仿宋" w:eastAsia="仿宋"/>
          <w:sz w:val="28"/>
          <w:szCs w:val="28"/>
          <w:highlight w:val="none"/>
          <w:lang w:val="en-US" w:eastAsia="zh-CN"/>
        </w:rPr>
        <w:t>供方需安排专人指导安装，并负责监控设施安装完毕后的调试、与交警调控系统的联调、验收等工作。</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7.2地点：青岛市高新区聚贤桥路50号高实集团10楼1017会议室。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8.2地点：青岛市高新区聚贤桥路50号高实集团10楼1017会议室。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1594"/>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DE96A0C">
      <w:pPr>
        <w:pStyle w:val="4"/>
        <w:spacing w:before="0" w:after="0" w:line="560" w:lineRule="exact"/>
        <w:jc w:val="left"/>
        <w:rPr>
          <w:rFonts w:hint="eastAsia" w:ascii="仿宋" w:hAnsi="仿宋" w:eastAsia="仿宋" w:cs="Times New Roman"/>
          <w:b w:val="0"/>
          <w:bCs w:val="0"/>
          <w:kern w:val="2"/>
          <w:sz w:val="28"/>
          <w:szCs w:val="28"/>
          <w:highlight w:val="none"/>
          <w:lang w:val="en-US" w:eastAsia="zh-CN" w:bidi="ar-SA"/>
        </w:rPr>
      </w:pPr>
      <w:bookmarkStart w:id="11" w:name="_Toc138080264"/>
      <w:bookmarkStart w:id="12" w:name="_Toc13545"/>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r>
        <w:rPr>
          <w:rFonts w:hint="eastAsia" w:ascii="仿宋" w:hAnsi="仿宋" w:eastAsia="仿宋" w:cs="Times New Roman"/>
          <w:b w:val="0"/>
          <w:bCs w:val="0"/>
          <w:kern w:val="2"/>
          <w:sz w:val="28"/>
          <w:szCs w:val="28"/>
          <w:highlight w:val="none"/>
          <w:lang w:val="en-US" w:eastAsia="zh-CN" w:bidi="ar-SA"/>
        </w:rPr>
        <w:t xml:space="preserve">详见采购清单 </w:t>
      </w:r>
      <w:bookmarkEnd w:id="11"/>
      <w:r>
        <w:rPr>
          <w:rFonts w:hint="eastAsia" w:ascii="仿宋" w:hAnsi="仿宋" w:eastAsia="仿宋" w:cs="Times New Roman"/>
          <w:b w:val="0"/>
          <w:bCs w:val="0"/>
          <w:kern w:val="2"/>
          <w:sz w:val="28"/>
          <w:szCs w:val="28"/>
          <w:highlight w:val="none"/>
          <w:lang w:val="en-US" w:eastAsia="zh-CN" w:bidi="ar-SA"/>
        </w:rPr>
        <w:t>。</w:t>
      </w:r>
      <w:bookmarkEnd w:id="12"/>
    </w:p>
    <w:p w14:paraId="238DD7B7">
      <w:pPr>
        <w:pStyle w:val="4"/>
        <w:spacing w:before="0" w:after="0" w:line="560" w:lineRule="exact"/>
        <w:jc w:val="left"/>
        <w:rPr>
          <w:rFonts w:asciiTheme="minorEastAsia" w:hAnsiTheme="minorEastAsia" w:eastAsiaTheme="minorEastAsia"/>
          <w:sz w:val="28"/>
          <w:szCs w:val="28"/>
        </w:rPr>
      </w:pPr>
      <w:bookmarkStart w:id="13" w:name="_Toc30990"/>
      <w:r>
        <w:rPr>
          <w:rFonts w:hint="eastAsia" w:asciiTheme="minorEastAsia" w:hAnsiTheme="minorEastAsia" w:eastAsiaTheme="minorEastAsia"/>
          <w:sz w:val="28"/>
          <w:szCs w:val="28"/>
        </w:rPr>
        <w:t>2.技术要求</w:t>
      </w:r>
      <w:bookmarkEnd w:id="13"/>
    </w:p>
    <w:p w14:paraId="03073A5D">
      <w:pPr>
        <w:spacing w:line="560" w:lineRule="exact"/>
        <w:ind w:firstLine="560" w:firstLineChars="200"/>
        <w:rPr>
          <w:rFonts w:ascii="仿宋" w:hAnsi="仿宋" w:eastAsia="仿宋"/>
          <w:sz w:val="28"/>
          <w:szCs w:val="28"/>
        </w:rPr>
      </w:pPr>
      <w:bookmarkStart w:id="14" w:name="_Toc134452754"/>
      <w:r>
        <w:rPr>
          <w:rFonts w:hint="eastAsia" w:ascii="仿宋" w:hAnsi="仿宋" w:eastAsia="仿宋"/>
          <w:sz w:val="28"/>
          <w:szCs w:val="28"/>
        </w:rPr>
        <w:t>★2.1</w:t>
      </w:r>
      <w:r>
        <w:rPr>
          <w:rFonts w:hint="eastAsia" w:ascii="仿宋" w:hAnsi="仿宋" w:eastAsia="仿宋"/>
          <w:sz w:val="28"/>
          <w:szCs w:val="28"/>
          <w:lang w:val="en-US" w:eastAsia="zh-CN"/>
        </w:rPr>
        <w:t xml:space="preserve"> </w:t>
      </w:r>
      <w:r>
        <w:rPr>
          <w:rFonts w:hint="eastAsia" w:ascii="仿宋" w:hAnsi="仿宋" w:eastAsia="仿宋"/>
          <w:sz w:val="28"/>
          <w:szCs w:val="28"/>
        </w:rPr>
        <w:t>供方需保证其所提供的产品必须是合同所确定的正宗原装产品，其型号、规格必须符合招标产品所列的各项参数</w:t>
      </w:r>
      <w:r>
        <w:rPr>
          <w:rFonts w:hint="eastAsia" w:ascii="仿宋" w:hAnsi="仿宋" w:eastAsia="仿宋"/>
          <w:sz w:val="28"/>
          <w:szCs w:val="28"/>
          <w:lang w:val="en-US" w:eastAsia="zh-CN"/>
        </w:rPr>
        <w:t>及设计图纸要求</w:t>
      </w:r>
      <w:r>
        <w:rPr>
          <w:rFonts w:hint="eastAsia" w:ascii="仿宋" w:hAnsi="仿宋" w:eastAsia="仿宋"/>
          <w:sz w:val="28"/>
          <w:szCs w:val="28"/>
        </w:rPr>
        <w:t>，质量必须达到该项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的国家标准，严禁使用不合格材料，假一罚十；所附各种资料及配件等必须齐全。</w:t>
      </w:r>
    </w:p>
    <w:p w14:paraId="208ACF8C">
      <w:pPr>
        <w:spacing w:line="560" w:lineRule="exact"/>
        <w:ind w:firstLine="560" w:firstLineChars="200"/>
        <w:rPr>
          <w:rFonts w:ascii="仿宋" w:hAnsi="仿宋" w:eastAsia="仿宋"/>
          <w:sz w:val="28"/>
          <w:szCs w:val="28"/>
        </w:rPr>
      </w:pPr>
      <w:r>
        <w:rPr>
          <w:rFonts w:hint="eastAsia" w:ascii="仿宋" w:hAnsi="仿宋" w:eastAsia="仿宋"/>
          <w:sz w:val="28"/>
          <w:szCs w:val="28"/>
        </w:rPr>
        <w:t>★2.2</w:t>
      </w:r>
      <w:r>
        <w:rPr>
          <w:rFonts w:hint="eastAsia" w:ascii="仿宋" w:hAnsi="仿宋" w:eastAsia="仿宋"/>
          <w:sz w:val="28"/>
          <w:szCs w:val="28"/>
          <w:lang w:val="en-US" w:eastAsia="zh-CN"/>
        </w:rPr>
        <w:t xml:space="preserve"> </w:t>
      </w:r>
      <w:r>
        <w:rPr>
          <w:rFonts w:hint="eastAsia" w:ascii="仿宋" w:hAnsi="仿宋" w:eastAsia="仿宋"/>
          <w:sz w:val="28"/>
          <w:szCs w:val="28"/>
        </w:rPr>
        <w:t>产品的验收按照国家标准规范进行。</w:t>
      </w:r>
    </w:p>
    <w:p w14:paraId="090F02F1">
      <w:pPr>
        <w:spacing w:line="560" w:lineRule="exact"/>
        <w:ind w:firstLine="560" w:firstLineChars="200"/>
        <w:rPr>
          <w:rFonts w:ascii="仿宋" w:hAnsi="仿宋" w:eastAsia="仿宋"/>
          <w:sz w:val="28"/>
          <w:szCs w:val="28"/>
        </w:rPr>
      </w:pPr>
      <w:r>
        <w:rPr>
          <w:rFonts w:hint="eastAsia" w:ascii="仿宋" w:hAnsi="仿宋" w:eastAsia="仿宋"/>
          <w:sz w:val="28"/>
          <w:szCs w:val="28"/>
        </w:rPr>
        <w:t>★2.3</w:t>
      </w:r>
      <w:r>
        <w:rPr>
          <w:rFonts w:hint="eastAsia" w:ascii="仿宋" w:hAnsi="仿宋" w:eastAsia="仿宋"/>
          <w:sz w:val="28"/>
          <w:szCs w:val="28"/>
          <w:lang w:val="en-US" w:eastAsia="zh-CN"/>
        </w:rPr>
        <w:t xml:space="preserve"> </w:t>
      </w:r>
      <w:r>
        <w:rPr>
          <w:rFonts w:hint="eastAsia" w:ascii="仿宋" w:hAnsi="仿宋" w:eastAsia="仿宋"/>
          <w:sz w:val="28"/>
          <w:szCs w:val="28"/>
        </w:rPr>
        <w:t>成交人需随货提供产品合格证、生产许可证，出厂试验报告等。</w:t>
      </w:r>
    </w:p>
    <w:p w14:paraId="0754F02F">
      <w:pPr>
        <w:spacing w:line="560" w:lineRule="exact"/>
        <w:ind w:firstLine="560" w:firstLineChars="200"/>
        <w:rPr>
          <w:rFonts w:ascii="仿宋" w:hAnsi="仿宋" w:eastAsia="仿宋"/>
          <w:sz w:val="28"/>
          <w:szCs w:val="28"/>
        </w:rPr>
      </w:pPr>
      <w:r>
        <w:rPr>
          <w:rFonts w:hint="eastAsia" w:ascii="仿宋" w:hAnsi="仿宋" w:eastAsia="仿宋"/>
          <w:sz w:val="28"/>
          <w:szCs w:val="28"/>
        </w:rPr>
        <w:t>★2.4</w:t>
      </w:r>
      <w:r>
        <w:rPr>
          <w:rFonts w:hint="eastAsia" w:ascii="仿宋" w:hAnsi="仿宋" w:eastAsia="仿宋"/>
          <w:sz w:val="28"/>
          <w:szCs w:val="28"/>
          <w:lang w:val="en-US" w:eastAsia="zh-CN"/>
        </w:rPr>
        <w:t xml:space="preserve"> </w:t>
      </w:r>
      <w:r>
        <w:rPr>
          <w:rFonts w:hint="eastAsia" w:ascii="仿宋" w:hAnsi="仿宋" w:eastAsia="仿宋"/>
          <w:sz w:val="28"/>
          <w:szCs w:val="28"/>
        </w:rPr>
        <w:t>供货期：签订合同后15日内交货</w:t>
      </w:r>
      <w:r>
        <w:rPr>
          <w:rFonts w:hint="eastAsia" w:ascii="仿宋" w:hAnsi="仿宋" w:eastAsia="仿宋"/>
          <w:sz w:val="28"/>
          <w:szCs w:val="28"/>
          <w:lang w:eastAsia="zh-CN"/>
        </w:rPr>
        <w:t>，</w:t>
      </w:r>
      <w:r>
        <w:rPr>
          <w:rFonts w:hint="eastAsia" w:ascii="仿宋" w:hAnsi="仿宋" w:eastAsia="仿宋"/>
          <w:sz w:val="28"/>
          <w:szCs w:val="28"/>
          <w:lang w:val="en-US" w:eastAsia="zh-CN"/>
        </w:rPr>
        <w:t>供方需安排专人指导安装，并负责监控设施安装完毕后的调试、与交警调控系统的联调、验收等工作</w:t>
      </w:r>
      <w:r>
        <w:rPr>
          <w:rFonts w:hint="eastAsia" w:ascii="仿宋" w:hAnsi="仿宋" w:eastAsia="仿宋"/>
          <w:sz w:val="28"/>
          <w:szCs w:val="28"/>
        </w:rPr>
        <w:t>。</w:t>
      </w:r>
    </w:p>
    <w:p w14:paraId="7D1E1872">
      <w:pPr>
        <w:spacing w:line="560" w:lineRule="exact"/>
        <w:ind w:firstLine="840" w:firstLineChars="300"/>
        <w:rPr>
          <w:rFonts w:ascii="仿宋" w:hAnsi="仿宋" w:eastAsia="仿宋"/>
          <w:sz w:val="28"/>
          <w:szCs w:val="28"/>
        </w:rPr>
      </w:pPr>
      <w:r>
        <w:rPr>
          <w:rFonts w:hint="eastAsia" w:ascii="仿宋" w:hAnsi="仿宋" w:eastAsia="仿宋"/>
          <w:sz w:val="28"/>
          <w:szCs w:val="28"/>
        </w:rPr>
        <w:t>2.5</w:t>
      </w:r>
      <w:r>
        <w:rPr>
          <w:rFonts w:hint="eastAsia" w:ascii="仿宋" w:hAnsi="仿宋" w:eastAsia="仿宋"/>
          <w:sz w:val="28"/>
          <w:szCs w:val="28"/>
          <w:lang w:val="en-US" w:eastAsia="zh-CN"/>
        </w:rPr>
        <w:t xml:space="preserve"> </w:t>
      </w:r>
      <w:r>
        <w:rPr>
          <w:rFonts w:hint="eastAsia" w:ascii="仿宋" w:hAnsi="仿宋" w:eastAsia="仿宋"/>
          <w:sz w:val="28"/>
          <w:szCs w:val="28"/>
        </w:rPr>
        <w:t>服务地点：采购人指定地点。</w:t>
      </w:r>
    </w:p>
    <w:bookmarkEnd w:id="14"/>
    <w:p w14:paraId="50262D85">
      <w:pPr>
        <w:pStyle w:val="4"/>
        <w:spacing w:before="0" w:after="0" w:line="560" w:lineRule="exact"/>
        <w:jc w:val="left"/>
        <w:rPr>
          <w:rFonts w:hint="eastAsia" w:asciiTheme="minorEastAsia" w:hAnsiTheme="minorEastAsia" w:eastAsiaTheme="minorEastAsia"/>
          <w:sz w:val="28"/>
          <w:szCs w:val="28"/>
          <w:lang w:val="en-US" w:eastAsia="zh-CN"/>
        </w:rPr>
      </w:pPr>
      <w:bookmarkStart w:id="15" w:name="_Toc138080267"/>
      <w:bookmarkStart w:id="16" w:name="_Toc2437"/>
      <w:bookmarkStart w:id="17" w:name="_Toc134452755"/>
      <w:bookmarkStart w:id="18" w:name="_Toc138080268"/>
      <w:bookmarkStart w:id="19" w:name="_Toc134452756"/>
      <w:r>
        <w:rPr>
          <w:rFonts w:hint="eastAsia" w:asciiTheme="minorEastAsia" w:hAnsiTheme="minorEastAsia" w:eastAsiaTheme="minorEastAsia"/>
          <w:sz w:val="28"/>
          <w:szCs w:val="28"/>
        </w:rPr>
        <w:t>★3.付款方式</w:t>
      </w:r>
      <w:bookmarkEnd w:id="15"/>
      <w:r>
        <w:rPr>
          <w:rFonts w:hint="eastAsia" w:asciiTheme="minorEastAsia" w:hAnsiTheme="minorEastAsia" w:eastAsiaTheme="minorEastAsia"/>
          <w:sz w:val="28"/>
          <w:szCs w:val="28"/>
          <w:lang w:val="en-US" w:eastAsia="zh-CN"/>
        </w:rPr>
        <w:t>及期限</w:t>
      </w:r>
      <w:bookmarkEnd w:id="16"/>
    </w:p>
    <w:p w14:paraId="6C1DE50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rPr>
        <w:t>签订合同后，</w:t>
      </w:r>
      <w:r>
        <w:rPr>
          <w:rFonts w:hint="eastAsia" w:ascii="仿宋" w:hAnsi="仿宋" w:eastAsia="仿宋"/>
          <w:sz w:val="28"/>
          <w:szCs w:val="28"/>
          <w:lang w:val="en-US" w:eastAsia="zh-CN"/>
        </w:rPr>
        <w:t>付至合同总额的30%作为预付款，产品到货安装完毕三个月后付至合同额的95%，</w:t>
      </w:r>
      <w:r>
        <w:rPr>
          <w:rFonts w:hint="eastAsia" w:ascii="仿宋" w:hAnsi="仿宋" w:eastAsia="仿宋"/>
          <w:sz w:val="28"/>
          <w:szCs w:val="28"/>
        </w:rPr>
        <w:t>供方需一次性开具全额增值税专用发票，13%税率，如遇税率调整，按照最新税率政策执行</w:t>
      </w:r>
      <w:r>
        <w:rPr>
          <w:rFonts w:hint="eastAsia" w:ascii="仿宋" w:hAnsi="仿宋" w:eastAsia="仿宋"/>
          <w:sz w:val="28"/>
          <w:szCs w:val="28"/>
          <w:lang w:eastAsia="zh-CN"/>
        </w:rPr>
        <w:t>；</w:t>
      </w:r>
      <w:r>
        <w:rPr>
          <w:rFonts w:hint="eastAsia" w:ascii="仿宋" w:hAnsi="仿宋" w:eastAsia="仿宋"/>
          <w:sz w:val="28"/>
          <w:szCs w:val="28"/>
          <w:lang w:val="en-US" w:eastAsia="zh-CN"/>
        </w:rPr>
        <w:t>剩余5%作为质保金，质保期满后一次性无息支付。</w:t>
      </w:r>
    </w:p>
    <w:bookmarkEnd w:id="17"/>
    <w:p w14:paraId="655E3A99">
      <w:pPr>
        <w:pStyle w:val="4"/>
        <w:spacing w:before="0" w:after="0" w:line="560" w:lineRule="exact"/>
        <w:jc w:val="left"/>
        <w:rPr>
          <w:rFonts w:asciiTheme="minorEastAsia" w:hAnsiTheme="minorEastAsia" w:eastAsiaTheme="minorEastAsia"/>
          <w:sz w:val="28"/>
          <w:szCs w:val="28"/>
          <w:highlight w:val="none"/>
        </w:rPr>
      </w:pPr>
      <w:bookmarkStart w:id="20" w:name="_Toc14233"/>
      <w:r>
        <w:rPr>
          <w:rFonts w:hint="eastAsia" w:asciiTheme="minorEastAsia" w:hAnsiTheme="minorEastAsia" w:eastAsiaTheme="minorEastAsia"/>
          <w:sz w:val="28"/>
          <w:szCs w:val="28"/>
          <w:highlight w:val="none"/>
        </w:rPr>
        <w:t>4.验收</w:t>
      </w:r>
      <w:bookmarkEnd w:id="18"/>
      <w:bookmarkEnd w:id="20"/>
    </w:p>
    <w:p w14:paraId="4C9C18A9">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rPr>
      </w:pPr>
      <w:bookmarkStart w:id="21" w:name="_Toc138080269"/>
      <w:bookmarkStart w:id="22" w:name="_Toc27748"/>
      <w:r>
        <w:rPr>
          <w:rFonts w:hint="eastAsia" w:asciiTheme="minorEastAsia" w:hAnsiTheme="minorEastAsia" w:eastAsiaTheme="minorEastAsia"/>
          <w:sz w:val="28"/>
          <w:szCs w:val="28"/>
        </w:rPr>
        <w:t>5.</w:t>
      </w:r>
      <w:bookmarkEnd w:id="19"/>
      <w:r>
        <w:rPr>
          <w:rFonts w:hint="eastAsia" w:asciiTheme="minorEastAsia" w:hAnsiTheme="minorEastAsia" w:eastAsiaTheme="minorEastAsia"/>
          <w:sz w:val="28"/>
          <w:szCs w:val="28"/>
        </w:rPr>
        <w:t>质量保证期</w:t>
      </w:r>
      <w:bookmarkEnd w:id="21"/>
      <w:bookmarkEnd w:id="22"/>
    </w:p>
    <w:p w14:paraId="764874EF">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rPr>
      </w:pPr>
      <w:bookmarkStart w:id="23" w:name="_Toc138080270"/>
      <w:bookmarkStart w:id="24" w:name="_Toc14497"/>
      <w:r>
        <w:rPr>
          <w:rFonts w:hint="eastAsia" w:asciiTheme="minorEastAsia" w:hAnsiTheme="minorEastAsia" w:eastAsiaTheme="minorEastAsia"/>
          <w:sz w:val="28"/>
          <w:szCs w:val="28"/>
        </w:rPr>
        <w:t>6.售后服务</w:t>
      </w:r>
      <w:bookmarkEnd w:id="23"/>
      <w:bookmarkEnd w:id="24"/>
    </w:p>
    <w:p w14:paraId="5AC9BC68">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76771FD8">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3BAF1209">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附录：高新区支十四号线（弘信路至广信路）道路及综合配套工程监控设备采购清单控制价（含税价，增值税税率为13%）</w:t>
      </w:r>
    </w:p>
    <w:tbl>
      <w:tblPr>
        <w:tblStyle w:val="28"/>
        <w:tblpPr w:leftFromText="180" w:rightFromText="180" w:vertAnchor="text" w:horzAnchor="page" w:tblpX="1396" w:tblpY="298"/>
        <w:tblOverlap w:val="never"/>
        <w:tblW w:w="9829" w:type="dxa"/>
        <w:tblInd w:w="0" w:type="dxa"/>
        <w:tblLayout w:type="fixed"/>
        <w:tblCellMar>
          <w:top w:w="0" w:type="dxa"/>
          <w:left w:w="108" w:type="dxa"/>
          <w:bottom w:w="0" w:type="dxa"/>
          <w:right w:w="108" w:type="dxa"/>
        </w:tblCellMar>
      </w:tblPr>
      <w:tblGrid>
        <w:gridCol w:w="441"/>
        <w:gridCol w:w="2580"/>
        <w:gridCol w:w="2070"/>
        <w:gridCol w:w="615"/>
        <w:gridCol w:w="825"/>
        <w:gridCol w:w="1665"/>
        <w:gridCol w:w="1633"/>
      </w:tblGrid>
      <w:tr w14:paraId="515BA66F">
        <w:tblPrEx>
          <w:tblCellMar>
            <w:top w:w="0" w:type="dxa"/>
            <w:left w:w="108" w:type="dxa"/>
            <w:bottom w:w="0" w:type="dxa"/>
            <w:right w:w="108" w:type="dxa"/>
          </w:tblCellMar>
        </w:tblPrEx>
        <w:trPr>
          <w:trHeight w:val="55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63043">
            <w:pPr>
              <w:widowControl/>
              <w:jc w:val="center"/>
              <w:rPr>
                <w:rFonts w:hint="eastAsia" w:ascii="仿宋" w:hAnsi="仿宋" w:eastAsia="仿宋" w:cs="仿宋"/>
                <w:b/>
                <w:bCs/>
                <w:color w:val="000000"/>
                <w:kern w:val="0"/>
                <w:sz w:val="22"/>
                <w:highlight w:val="none"/>
                <w:lang w:eastAsia="zh-CN"/>
              </w:rPr>
            </w:pPr>
            <w:bookmarkStart w:id="25" w:name="_Toc134452757"/>
            <w:r>
              <w:rPr>
                <w:rFonts w:hint="eastAsia" w:ascii="仿宋" w:hAnsi="仿宋" w:eastAsia="仿宋" w:cs="仿宋"/>
                <w:b/>
                <w:bCs/>
                <w:color w:val="000000"/>
                <w:kern w:val="0"/>
                <w:sz w:val="22"/>
                <w:highlight w:val="none"/>
                <w:lang w:eastAsia="zh-CN"/>
              </w:rPr>
              <w:t>序号</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F0A35">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lang w:eastAsia="zh-CN"/>
              </w:rPr>
              <w:t>材料</w:t>
            </w:r>
            <w:r>
              <w:rPr>
                <w:rFonts w:hint="eastAsia" w:ascii="仿宋" w:hAnsi="仿宋" w:eastAsia="仿宋" w:cs="仿宋"/>
                <w:b/>
                <w:bCs/>
                <w:color w:val="000000"/>
                <w:kern w:val="0"/>
                <w:sz w:val="22"/>
                <w:highlight w:val="none"/>
              </w:rPr>
              <w:t>名称</w:t>
            </w:r>
          </w:p>
        </w:tc>
        <w:tc>
          <w:tcPr>
            <w:tcW w:w="2070" w:type="dxa"/>
            <w:tcBorders>
              <w:top w:val="single" w:color="auto" w:sz="4" w:space="0"/>
              <w:left w:val="nil"/>
              <w:bottom w:val="single" w:color="auto" w:sz="4" w:space="0"/>
              <w:right w:val="single" w:color="auto" w:sz="4" w:space="0"/>
            </w:tcBorders>
            <w:shd w:val="clear" w:color="auto" w:fill="auto"/>
            <w:vAlign w:val="center"/>
          </w:tcPr>
          <w:p w14:paraId="55D203CA">
            <w:pPr>
              <w:widowControl/>
              <w:jc w:val="center"/>
              <w:rPr>
                <w:rFonts w:hint="eastAsia" w:ascii="仿宋" w:hAnsi="仿宋" w:eastAsia="仿宋" w:cs="仿宋"/>
                <w:b/>
                <w:bCs/>
                <w:color w:val="000000"/>
                <w:kern w:val="0"/>
                <w:sz w:val="22"/>
                <w:highlight w:val="none"/>
                <w:lang w:eastAsia="zh-CN"/>
              </w:rPr>
            </w:pPr>
            <w:r>
              <w:rPr>
                <w:rFonts w:hint="eastAsia" w:ascii="仿宋" w:hAnsi="仿宋" w:eastAsia="仿宋" w:cs="仿宋"/>
                <w:b/>
                <w:bCs/>
                <w:color w:val="000000"/>
                <w:kern w:val="0"/>
                <w:sz w:val="22"/>
                <w:highlight w:val="none"/>
              </w:rPr>
              <w:t>规格</w:t>
            </w:r>
            <w:r>
              <w:rPr>
                <w:rFonts w:hint="eastAsia" w:ascii="仿宋" w:hAnsi="仿宋" w:eastAsia="仿宋" w:cs="仿宋"/>
                <w:b/>
                <w:bCs/>
                <w:color w:val="000000"/>
                <w:kern w:val="0"/>
                <w:sz w:val="22"/>
                <w:highlight w:val="none"/>
                <w:lang w:eastAsia="zh-CN"/>
              </w:rPr>
              <w:t>型号</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094C4C07">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单位</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0829E638">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采购数量</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0A743091">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控制单价（元）</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77175F3E">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控制总价（元）</w:t>
            </w:r>
          </w:p>
        </w:tc>
      </w:tr>
      <w:tr w14:paraId="7CBCBC94">
        <w:tblPrEx>
          <w:tblCellMar>
            <w:top w:w="0" w:type="dxa"/>
            <w:left w:w="108" w:type="dxa"/>
            <w:bottom w:w="0" w:type="dxa"/>
            <w:right w:w="108" w:type="dxa"/>
          </w:tblCellMar>
        </w:tblPrEx>
        <w:trPr>
          <w:trHeight w:val="65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2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9868">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i w:val="0"/>
                <w:iCs w:val="0"/>
                <w:color w:val="000000"/>
                <w:kern w:val="0"/>
                <w:sz w:val="24"/>
                <w:szCs w:val="24"/>
                <w:u w:val="none"/>
                <w:lang w:val="en-US" w:eastAsia="zh-CN" w:bidi="ar"/>
              </w:rPr>
              <w:t>监控摄像机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（正向抓拍枪机）</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6BE76DF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品牌： 海康威视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规格：900万像素</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7837F609">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D6C044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60C87D1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6431.67</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342D2A2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19295.01</w:t>
            </w:r>
          </w:p>
        </w:tc>
      </w:tr>
      <w:tr w14:paraId="2BE201BA">
        <w:tblPrEx>
          <w:tblCellMar>
            <w:top w:w="0" w:type="dxa"/>
            <w:left w:w="108" w:type="dxa"/>
            <w:bottom w:w="0" w:type="dxa"/>
            <w:right w:w="108" w:type="dxa"/>
          </w:tblCellMar>
        </w:tblPrEx>
        <w:trPr>
          <w:trHeight w:val="63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5293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65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监控摄像机补光灯</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70C4A9E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海康威视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规格：与抓拍枪机配套</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668578C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05D729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17BF04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718.33</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31CB4BC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2154.99</w:t>
            </w:r>
          </w:p>
        </w:tc>
      </w:tr>
      <w:tr w14:paraId="7241C82D">
        <w:tblPrEx>
          <w:tblCellMar>
            <w:top w:w="0" w:type="dxa"/>
            <w:left w:w="108" w:type="dxa"/>
            <w:bottom w:w="0" w:type="dxa"/>
            <w:right w:w="108" w:type="dxa"/>
          </w:tblCellMar>
        </w:tblPrEx>
        <w:trPr>
          <w:trHeight w:val="56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538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00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（路口监控）</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29A5E6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品牌：海康威视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规格：500万像素</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21D57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1C434A8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07468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5243.33</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4AE63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10486.66</w:t>
            </w:r>
          </w:p>
        </w:tc>
      </w:tr>
      <w:tr w14:paraId="675FB533">
        <w:tblPrEx>
          <w:tblCellMar>
            <w:top w:w="0" w:type="dxa"/>
            <w:left w:w="108" w:type="dxa"/>
            <w:bottom w:w="0" w:type="dxa"/>
            <w:right w:w="108" w:type="dxa"/>
          </w:tblCellMar>
        </w:tblPrEx>
        <w:trPr>
          <w:trHeight w:val="57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40BD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1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监控摄像机（违停抓拍监控摄像头）</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01584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品牌：海康威视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规格：900万像素</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22F00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7171DE9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190DE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5355</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06520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10710</w:t>
            </w:r>
          </w:p>
        </w:tc>
      </w:tr>
      <w:tr w14:paraId="776CD065">
        <w:tblPrEx>
          <w:tblCellMar>
            <w:top w:w="0" w:type="dxa"/>
            <w:left w:w="108" w:type="dxa"/>
            <w:bottom w:w="0" w:type="dxa"/>
            <w:right w:w="108" w:type="dxa"/>
          </w:tblCellMar>
        </w:tblPrEx>
        <w:trPr>
          <w:trHeight w:val="47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8B9F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FBC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交通信号机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（含基础）</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41046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设备控制机箱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品牌：海信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型号：SC3101</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516F9A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13F6ED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4B4871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36667.5</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3DB97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36667.5</w:t>
            </w:r>
          </w:p>
        </w:tc>
      </w:tr>
      <w:tr w14:paraId="1F765E91">
        <w:tblPrEx>
          <w:tblCellMar>
            <w:top w:w="0" w:type="dxa"/>
            <w:left w:w="108" w:type="dxa"/>
            <w:bottom w:w="0" w:type="dxa"/>
            <w:right w:w="108" w:type="dxa"/>
          </w:tblCellMar>
        </w:tblPrEx>
        <w:trPr>
          <w:trHeight w:val="48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E58E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DAD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落地式配电箱</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03DEF4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品牌：海信</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530867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73A0F3C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4436F7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68C6B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r>
      <w:tr w14:paraId="496D73BD">
        <w:tblPrEx>
          <w:tblCellMar>
            <w:top w:w="0" w:type="dxa"/>
            <w:left w:w="108" w:type="dxa"/>
            <w:bottom w:w="0" w:type="dxa"/>
            <w:right w:w="108" w:type="dxa"/>
          </w:tblCellMar>
        </w:tblPrEx>
        <w:trPr>
          <w:trHeight w:val="42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CB6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50F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杆上配电箱（电子警察抱杆机箱）</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3B476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品牌：海康威视</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3AD151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355D154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02412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325.83</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373ABE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977.49</w:t>
            </w:r>
          </w:p>
        </w:tc>
      </w:tr>
      <w:tr w14:paraId="0F2FFF61">
        <w:tblPrEx>
          <w:tblCellMar>
            <w:top w:w="0" w:type="dxa"/>
            <w:left w:w="108" w:type="dxa"/>
            <w:bottom w:w="0" w:type="dxa"/>
            <w:right w:w="108" w:type="dxa"/>
          </w:tblCellMar>
        </w:tblPrEx>
        <w:trPr>
          <w:trHeight w:val="47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D1E7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9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杆上配电箱（违停抓拍抱杆机箱）</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08F76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品牌：海康威视</w:t>
            </w: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7F460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6800F03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4EB74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325.83</w:t>
            </w: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12303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651.66</w:t>
            </w:r>
          </w:p>
        </w:tc>
      </w:tr>
      <w:tr w14:paraId="5AAAB668">
        <w:tblPrEx>
          <w:tblCellMar>
            <w:top w:w="0" w:type="dxa"/>
            <w:left w:w="108" w:type="dxa"/>
            <w:bottom w:w="0" w:type="dxa"/>
            <w:right w:w="108" w:type="dxa"/>
          </w:tblCellMar>
        </w:tblPrEx>
        <w:trPr>
          <w:trHeight w:val="48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8CE2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F73D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1CF8D34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14:paraId="1E024C2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3CA169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7AA2F0E0">
            <w:pPr>
              <w:jc w:val="center"/>
              <w:rPr>
                <w:rFonts w:hint="eastAsia" w:ascii="仿宋" w:hAnsi="仿宋" w:eastAsia="仿宋" w:cs="仿宋"/>
                <w:sz w:val="24"/>
                <w:szCs w:val="24"/>
                <w:highlight w:val="none"/>
                <w:lang w:val="en-US" w:eastAsia="zh-CN"/>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14:paraId="1B833C6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82743.31</w:t>
            </w:r>
          </w:p>
        </w:tc>
      </w:tr>
    </w:tbl>
    <w:p w14:paraId="333A80E0">
      <w:pPr>
        <w:rPr>
          <w:rFonts w:hint="eastAsia" w:ascii="黑体" w:hAnsi="黑体" w:eastAsia="黑体" w:cs="黑体"/>
          <w:bCs/>
          <w:sz w:val="32"/>
          <w:szCs w:val="32"/>
          <w:highlight w:val="none"/>
        </w:rPr>
      </w:pPr>
    </w:p>
    <w:p w14:paraId="7C88F91F">
      <w:pPr>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br w:type="page"/>
      </w:r>
    </w:p>
    <w:p w14:paraId="016DA1C8">
      <w:pPr>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5758815" cy="3434080"/>
            <wp:effectExtent l="0" t="0" r="13335" b="13970"/>
            <wp:docPr id="1" name="图片 1" descr="40c6f59766fbf7feb74e0d18d7563b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c6f59766fbf7feb74e0d18d7563b3b"/>
                    <pic:cNvPicPr>
                      <a:picLocks noChangeAspect="1"/>
                    </pic:cNvPicPr>
                  </pic:nvPicPr>
                  <pic:blipFill>
                    <a:blip r:embed="rId6"/>
                    <a:stretch>
                      <a:fillRect/>
                    </a:stretch>
                  </pic:blipFill>
                  <pic:spPr>
                    <a:xfrm>
                      <a:off x="0" y="0"/>
                      <a:ext cx="5758815" cy="3434080"/>
                    </a:xfrm>
                    <a:prstGeom prst="rect">
                      <a:avLst/>
                    </a:prstGeom>
                  </pic:spPr>
                </pic:pic>
              </a:graphicData>
            </a:graphic>
          </wp:inline>
        </w:drawing>
      </w:r>
      <w:r>
        <w:rPr>
          <w:rFonts w:hint="eastAsia" w:ascii="黑体" w:hAnsi="黑体" w:eastAsia="黑体" w:cs="黑体"/>
          <w:bCs/>
          <w:sz w:val="32"/>
          <w:szCs w:val="32"/>
          <w:highlight w:val="none"/>
        </w:rPr>
        <w:drawing>
          <wp:inline distT="0" distB="0" distL="114300" distR="114300">
            <wp:extent cx="5748020" cy="4040505"/>
            <wp:effectExtent l="0" t="0" r="5080" b="17145"/>
            <wp:docPr id="2" name="图片 2" descr="6319221b-6592-48fa-8751-7cfc5f481c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19221b-6592-48fa-8751-7cfc5f481c27"/>
                    <pic:cNvPicPr>
                      <a:picLocks noChangeAspect="1"/>
                    </pic:cNvPicPr>
                  </pic:nvPicPr>
                  <pic:blipFill>
                    <a:blip r:embed="rId7"/>
                    <a:stretch>
                      <a:fillRect/>
                    </a:stretch>
                  </pic:blipFill>
                  <pic:spPr>
                    <a:xfrm>
                      <a:off x="0" y="0"/>
                      <a:ext cx="5748020" cy="4040505"/>
                    </a:xfrm>
                    <a:prstGeom prst="rect">
                      <a:avLst/>
                    </a:prstGeom>
                  </pic:spPr>
                </pic:pic>
              </a:graphicData>
            </a:graphic>
          </wp:inline>
        </w:drawing>
      </w:r>
      <w:r>
        <w:rPr>
          <w:rFonts w:hint="eastAsia" w:ascii="黑体" w:hAnsi="黑体" w:eastAsia="黑体" w:cs="黑体"/>
          <w:bCs/>
          <w:sz w:val="32"/>
          <w:szCs w:val="32"/>
          <w:highlight w:val="none"/>
        </w:rPr>
        <w:br w:type="page"/>
      </w:r>
    </w:p>
    <w:p w14:paraId="59FC3516">
      <w:pPr>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drawing>
          <wp:inline distT="0" distB="0" distL="114300" distR="114300">
            <wp:extent cx="6111875" cy="4312285"/>
            <wp:effectExtent l="0" t="0" r="3175" b="12065"/>
            <wp:docPr id="3" name="图片 3" descr="ef0d4b29-54f7-40b1-8f1b-f5b6c516e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0d4b29-54f7-40b1-8f1b-f5b6c516e0b9"/>
                    <pic:cNvPicPr>
                      <a:picLocks noChangeAspect="1"/>
                    </pic:cNvPicPr>
                  </pic:nvPicPr>
                  <pic:blipFill>
                    <a:blip r:embed="rId8"/>
                    <a:stretch>
                      <a:fillRect/>
                    </a:stretch>
                  </pic:blipFill>
                  <pic:spPr>
                    <a:xfrm>
                      <a:off x="0" y="0"/>
                      <a:ext cx="6111875" cy="4312285"/>
                    </a:xfrm>
                    <a:prstGeom prst="rect">
                      <a:avLst/>
                    </a:prstGeom>
                  </pic:spPr>
                </pic:pic>
              </a:graphicData>
            </a:graphic>
          </wp:inline>
        </w:drawing>
      </w:r>
      <w:r>
        <w:rPr>
          <w:rFonts w:hint="eastAsia" w:ascii="黑体" w:hAnsi="黑体" w:eastAsia="黑体" w:cs="黑体"/>
          <w:bCs/>
          <w:sz w:val="32"/>
          <w:szCs w:val="32"/>
          <w:highlight w:val="none"/>
        </w:rPr>
        <w:br w:type="page"/>
      </w:r>
    </w:p>
    <w:bookmarkEnd w:id="25"/>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6" w:name="_Toc247514283"/>
      <w:bookmarkStart w:id="27" w:name="_Toc144974860"/>
      <w:bookmarkStart w:id="28" w:name="_Toc152045791"/>
      <w:bookmarkStart w:id="29" w:name="_Toc247527831"/>
      <w:bookmarkStart w:id="30" w:name="_Toc152042580"/>
      <w:bookmarkStart w:id="31" w:name="_Toc300835213"/>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6"/>
      <w:bookmarkEnd w:id="27"/>
      <w:bookmarkEnd w:id="28"/>
      <w:bookmarkEnd w:id="29"/>
      <w:bookmarkEnd w:id="30"/>
      <w:bookmarkEnd w:id="31"/>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2" w:name="_GoBack"/>
      <w:bookmarkEnd w:id="32"/>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08503B"/>
    <w:rsid w:val="024D214C"/>
    <w:rsid w:val="028D62DC"/>
    <w:rsid w:val="02C46BBB"/>
    <w:rsid w:val="030B068E"/>
    <w:rsid w:val="045D6C62"/>
    <w:rsid w:val="04C70B93"/>
    <w:rsid w:val="053022E6"/>
    <w:rsid w:val="05BF54E7"/>
    <w:rsid w:val="06CB676A"/>
    <w:rsid w:val="072F65CD"/>
    <w:rsid w:val="087B41C0"/>
    <w:rsid w:val="09302B22"/>
    <w:rsid w:val="093A12E4"/>
    <w:rsid w:val="0B003157"/>
    <w:rsid w:val="0C667EA6"/>
    <w:rsid w:val="10BC7123"/>
    <w:rsid w:val="10F40B89"/>
    <w:rsid w:val="11072A94"/>
    <w:rsid w:val="13AF4D1D"/>
    <w:rsid w:val="13FC1FA7"/>
    <w:rsid w:val="156D4658"/>
    <w:rsid w:val="16FB038F"/>
    <w:rsid w:val="187D0A35"/>
    <w:rsid w:val="18B33C1C"/>
    <w:rsid w:val="19F1668A"/>
    <w:rsid w:val="1B703EAA"/>
    <w:rsid w:val="1D5D189B"/>
    <w:rsid w:val="1DCD6AB3"/>
    <w:rsid w:val="1E917E41"/>
    <w:rsid w:val="1EE97D61"/>
    <w:rsid w:val="1F131257"/>
    <w:rsid w:val="214C77AE"/>
    <w:rsid w:val="215C578A"/>
    <w:rsid w:val="219A5FA9"/>
    <w:rsid w:val="22C5630B"/>
    <w:rsid w:val="231D7EF5"/>
    <w:rsid w:val="23AE5533"/>
    <w:rsid w:val="23D914E9"/>
    <w:rsid w:val="23E0478E"/>
    <w:rsid w:val="24C43A2C"/>
    <w:rsid w:val="25884FA1"/>
    <w:rsid w:val="26C52111"/>
    <w:rsid w:val="27E76110"/>
    <w:rsid w:val="2987378F"/>
    <w:rsid w:val="2AB9711D"/>
    <w:rsid w:val="2B2937A5"/>
    <w:rsid w:val="2C6646BB"/>
    <w:rsid w:val="2CD02933"/>
    <w:rsid w:val="2D3E2F42"/>
    <w:rsid w:val="2D426ED6"/>
    <w:rsid w:val="2D4D0F3A"/>
    <w:rsid w:val="2D5E57D3"/>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CA5C18"/>
    <w:rsid w:val="3D460945"/>
    <w:rsid w:val="3DDF40F0"/>
    <w:rsid w:val="3F762A0F"/>
    <w:rsid w:val="407C073E"/>
    <w:rsid w:val="40FB75B5"/>
    <w:rsid w:val="419C7625"/>
    <w:rsid w:val="41B617E9"/>
    <w:rsid w:val="41DB4140"/>
    <w:rsid w:val="42424E2B"/>
    <w:rsid w:val="427D4FF1"/>
    <w:rsid w:val="42C65A5C"/>
    <w:rsid w:val="44F4214C"/>
    <w:rsid w:val="452D76AA"/>
    <w:rsid w:val="473531B0"/>
    <w:rsid w:val="48401398"/>
    <w:rsid w:val="49C10D2B"/>
    <w:rsid w:val="49EE2015"/>
    <w:rsid w:val="4A712751"/>
    <w:rsid w:val="4A96046B"/>
    <w:rsid w:val="4B0E61F2"/>
    <w:rsid w:val="4BF56721"/>
    <w:rsid w:val="4E112440"/>
    <w:rsid w:val="4E2D31EF"/>
    <w:rsid w:val="4E6E236A"/>
    <w:rsid w:val="4E985EB2"/>
    <w:rsid w:val="4F093B31"/>
    <w:rsid w:val="4F6E6091"/>
    <w:rsid w:val="4FC058C6"/>
    <w:rsid w:val="4FCD43A7"/>
    <w:rsid w:val="510C5E54"/>
    <w:rsid w:val="51575697"/>
    <w:rsid w:val="51907961"/>
    <w:rsid w:val="520A2AA3"/>
    <w:rsid w:val="52216A9B"/>
    <w:rsid w:val="52427E13"/>
    <w:rsid w:val="530C74BB"/>
    <w:rsid w:val="53726F63"/>
    <w:rsid w:val="53986FA1"/>
    <w:rsid w:val="54091C4C"/>
    <w:rsid w:val="542E10AC"/>
    <w:rsid w:val="547418E3"/>
    <w:rsid w:val="56463663"/>
    <w:rsid w:val="57E71486"/>
    <w:rsid w:val="590B5B1F"/>
    <w:rsid w:val="59943EF2"/>
    <w:rsid w:val="5A15047F"/>
    <w:rsid w:val="5A1C03AD"/>
    <w:rsid w:val="5ADE61AD"/>
    <w:rsid w:val="5B9A25B0"/>
    <w:rsid w:val="5C82428E"/>
    <w:rsid w:val="5E7D1E46"/>
    <w:rsid w:val="5F251B4F"/>
    <w:rsid w:val="5FC059FC"/>
    <w:rsid w:val="5FD61B35"/>
    <w:rsid w:val="6005776C"/>
    <w:rsid w:val="605204D7"/>
    <w:rsid w:val="60682CF1"/>
    <w:rsid w:val="60CD7D73"/>
    <w:rsid w:val="60E44589"/>
    <w:rsid w:val="614B680F"/>
    <w:rsid w:val="62A74B7D"/>
    <w:rsid w:val="62EE098B"/>
    <w:rsid w:val="63AA42DA"/>
    <w:rsid w:val="63B75221"/>
    <w:rsid w:val="64384C3A"/>
    <w:rsid w:val="664803B2"/>
    <w:rsid w:val="66B772E6"/>
    <w:rsid w:val="66C467C4"/>
    <w:rsid w:val="6A87576B"/>
    <w:rsid w:val="6B533A81"/>
    <w:rsid w:val="6BCA7704"/>
    <w:rsid w:val="6BD478D0"/>
    <w:rsid w:val="6C2F5391"/>
    <w:rsid w:val="6C7E7B91"/>
    <w:rsid w:val="6D922DEE"/>
    <w:rsid w:val="6D9E4D5C"/>
    <w:rsid w:val="6FAF155A"/>
    <w:rsid w:val="6FB94521"/>
    <w:rsid w:val="6FCC48CA"/>
    <w:rsid w:val="708F339A"/>
    <w:rsid w:val="71211F2C"/>
    <w:rsid w:val="714F6A99"/>
    <w:rsid w:val="719E357C"/>
    <w:rsid w:val="7322493E"/>
    <w:rsid w:val="73FA3EA6"/>
    <w:rsid w:val="75C0373B"/>
    <w:rsid w:val="75C97891"/>
    <w:rsid w:val="768A40CF"/>
    <w:rsid w:val="76D66DC3"/>
    <w:rsid w:val="792452A3"/>
    <w:rsid w:val="794719E5"/>
    <w:rsid w:val="79725A1A"/>
    <w:rsid w:val="79D91539"/>
    <w:rsid w:val="7D9F5C2E"/>
    <w:rsid w:val="7DBD303D"/>
    <w:rsid w:val="7F0832B6"/>
    <w:rsid w:val="7F3347F3"/>
    <w:rsid w:val="7F893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9</Pages>
  <Words>10809</Words>
  <Characters>11393</Characters>
  <Lines>99</Lines>
  <Paragraphs>28</Paragraphs>
  <TotalTime>70</TotalTime>
  <ScaleCrop>false</ScaleCrop>
  <LinksUpToDate>false</LinksUpToDate>
  <CharactersWithSpaces>12553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2025-10-28T23:56:32Z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