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rPr>
        <w:t>采购公告</w:t>
      </w:r>
    </w:p>
    <w:p w14:paraId="2F207D4E">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青岛高新城维实业有限公司现对城维公司绿化种植土年度单价采购项目进行采购，具体要求如下：</w:t>
      </w:r>
    </w:p>
    <w:p w14:paraId="31F882FC">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6D188043">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1.项目名称：城维公司绿化种植土年度单价采购项目</w:t>
      </w:r>
    </w:p>
    <w:p w14:paraId="6EE06FA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w:t>
      </w:r>
    </w:p>
    <w:p w14:paraId="37658FC5">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3.采购内容：详见采购清单</w:t>
      </w:r>
    </w:p>
    <w:p w14:paraId="20F8A768">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4.采购方式及周期：根据中标企业的中标单价，以实际发生量按实结算。采购合同有效期自合同签订之日起1年内有效。</w:t>
      </w:r>
    </w:p>
    <w:p w14:paraId="5405A52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5.质量标准：达到国家标准规范及公司验收合格标准。</w:t>
      </w:r>
    </w:p>
    <w:p w14:paraId="584446CF">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甲方发出订单后，2</w:t>
      </w:r>
      <w:r>
        <w:rPr>
          <w:rFonts w:hint="eastAsia" w:ascii="仿宋_GB2312" w:hAnsi="仿宋_GB2312" w:cs="仿宋_GB2312"/>
          <w:bCs/>
          <w:kern w:val="0"/>
          <w:szCs w:val="30"/>
          <w:highlight w:val="none"/>
        </w:rPr>
        <w:t>天</w:t>
      </w:r>
      <w:r>
        <w:rPr>
          <w:rFonts w:hint="eastAsia" w:ascii="仿宋_GB2312" w:hAnsi="仿宋_GB2312" w:cs="仿宋_GB2312"/>
          <w:kern w:val="0"/>
          <w:szCs w:val="30"/>
          <w:highlight w:val="none"/>
        </w:rPr>
        <w:t>内到货。</w:t>
      </w:r>
    </w:p>
    <w:p w14:paraId="5DC1F99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7.发票类别：需提供增值税专用发票，发票税率详见第四章采购清单。</w:t>
      </w:r>
    </w:p>
    <w:p w14:paraId="405203FD">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w:t>
      </w:r>
      <w:r>
        <w:rPr>
          <w:rFonts w:hint="eastAsia"/>
          <w:highlight w:val="none"/>
        </w:rPr>
        <w:t xml:space="preserve"> </w:t>
      </w:r>
      <w:r>
        <w:rPr>
          <w:rFonts w:hint="eastAsia" w:ascii="仿宋_GB2312" w:hAnsi="仿宋_GB2312" w:cs="仿宋_GB2312"/>
          <w:kern w:val="0"/>
          <w:szCs w:val="30"/>
          <w:highlight w:val="none"/>
        </w:rPr>
        <w:t>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2392F8ED">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4164D3B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详见采购清单</w:t>
      </w:r>
    </w:p>
    <w:p w14:paraId="68CBF0F3">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48D86AD7">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1.需具有独立法人资格，各投标人不得有企业关联或股权关系；</w:t>
      </w:r>
    </w:p>
    <w:p w14:paraId="7F673522">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2</w:t>
      </w:r>
      <w:r>
        <w:rPr>
          <w:rFonts w:hint="eastAsia" w:ascii="仿宋_GB2312" w:hAnsi="仿宋_GB2312" w:cs="仿宋_GB2312"/>
          <w:color w:val="000000"/>
          <w:kern w:val="0"/>
          <w:szCs w:val="30"/>
          <w:highlight w:val="none"/>
        </w:rPr>
        <w:t>.采购公告发布之日起三年内无行贿犯罪等重大违法记录；</w:t>
      </w:r>
    </w:p>
    <w:p w14:paraId="18D4A8FB">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3</w:t>
      </w:r>
      <w:r>
        <w:rPr>
          <w:rFonts w:hint="eastAsia" w:ascii="仿宋_GB2312" w:hAnsi="仿宋_GB2312" w:cs="仿宋_GB2312"/>
          <w:color w:val="000000"/>
          <w:kern w:val="0"/>
          <w:szCs w:val="30"/>
          <w:highlight w:val="none"/>
        </w:rPr>
        <w:t>.通过“信用中国”网站（www.creditchina.gov.cn）、中国政府采购网（www.ccgp.gov.cn）未被列入失信被执行人、重大税收违法案件当事人、政府采购严重违法失信行为记录名单。</w:t>
      </w:r>
    </w:p>
    <w:p w14:paraId="4A835F4A">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EAC4AC1">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12DC66B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1.截止时间：2025年11月17日12时00分。</w:t>
      </w:r>
    </w:p>
    <w:p w14:paraId="09DA565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2.预审方式：供应商将资格审查所需材料附在一个PDF格式文件里，在截止时间前发送至邮箱：</w:t>
      </w:r>
      <w:r>
        <w:rPr>
          <w:rFonts w:ascii="仿宋_GB2312" w:hAnsi="仿宋_GB2312" w:cs="仿宋_GB2312"/>
          <w:szCs w:val="30"/>
          <w:highlight w:val="none"/>
        </w:rPr>
        <w:t>qdgxcwscb@163.com</w:t>
      </w:r>
      <w:r>
        <w:rPr>
          <w:rFonts w:hint="eastAsia" w:ascii="仿宋_GB2312" w:hAnsi="仿宋_GB2312" w:cs="仿宋_GB2312"/>
          <w:szCs w:val="30"/>
          <w:highlight w:val="none"/>
        </w:rPr>
        <w:t>。邮件标题为供应商名称+项目名称，正文备注联系人、联系方式、采购文件接收邮箱地址。审核通过后通过邮箱向报名单位发放采购文件。</w:t>
      </w:r>
    </w:p>
    <w:p w14:paraId="7256C1D8">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17A6A3A8">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五、响应文件递交时间及地点</w:t>
      </w:r>
    </w:p>
    <w:p w14:paraId="053E88C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1.时间：2025年11月21日9时00分至9时30分。</w:t>
      </w:r>
    </w:p>
    <w:p w14:paraId="12F8CB41">
      <w:pPr>
        <w:spacing w:line="560" w:lineRule="exact"/>
        <w:ind w:firstLine="600" w:firstLineChars="200"/>
        <w:rPr>
          <w:rFonts w:ascii="宋体" w:hAnsi="宋体" w:cs="宋体"/>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高新区聚贤桥路50号1号楼9层会议室。</w:t>
      </w:r>
    </w:p>
    <w:p w14:paraId="3E9BD576">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0C75840A">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1.时间：2025年11月21日9时30分。</w:t>
      </w:r>
    </w:p>
    <w:p w14:paraId="2B282DB4">
      <w:pPr>
        <w:spacing w:line="560" w:lineRule="exact"/>
        <w:ind w:firstLine="600" w:firstLineChars="200"/>
        <w:rPr>
          <w:rFonts w:ascii="仿宋_GB2312" w:hAnsi="仿宋_GB2312" w:cs="仿宋_GB2312"/>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高新区聚贤桥路50号1号楼9层会议室。</w:t>
      </w:r>
    </w:p>
    <w:p w14:paraId="6DC6EC72">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06C13B5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48013620">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3D7339D4">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9E60DC8">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高新区聚贤桥路50号1号楼9层。</w:t>
      </w:r>
    </w:p>
    <w:p w14:paraId="696DB170">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2.资格预审</w:t>
      </w:r>
    </w:p>
    <w:p w14:paraId="5AB07CF1">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24B91A56">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71CB48E">
      <w:pPr>
        <w:spacing w:line="560" w:lineRule="exact"/>
        <w:ind w:firstLine="600" w:firstLineChars="200"/>
        <w:rPr>
          <w:rFonts w:ascii="宋体" w:hAnsi="宋体" w:cs="宋体"/>
          <w:szCs w:val="30"/>
          <w:highlight w:val="none"/>
        </w:rPr>
      </w:pPr>
    </w:p>
    <w:p w14:paraId="43D1649C">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4668CB15">
      <w:pPr>
        <w:spacing w:line="560" w:lineRule="exact"/>
        <w:ind w:firstLine="5700" w:firstLineChars="1900"/>
        <w:rPr>
          <w:rFonts w:ascii="仿宋_GB2312" w:hAnsi="仿宋_GB2312" w:cs="仿宋_GB2312"/>
          <w:szCs w:val="30"/>
          <w:highlight w:val="none"/>
        </w:rPr>
      </w:pPr>
      <w:r>
        <w:rPr>
          <w:rFonts w:hint="eastAsia" w:ascii="仿宋_GB2312" w:hAnsi="仿宋_GB2312" w:cs="仿宋_GB2312"/>
          <w:szCs w:val="30"/>
          <w:highlight w:val="none"/>
        </w:rPr>
        <w:t>2025年11月14日</w:t>
      </w:r>
    </w:p>
    <w:p w14:paraId="292D148E">
      <w:pPr>
        <w:spacing w:after="120" w:afterLines="50" w:line="520" w:lineRule="exact"/>
        <w:ind w:right="278"/>
        <w:jc w:val="center"/>
        <w:outlineLvl w:val="0"/>
        <w:rPr>
          <w:rFonts w:ascii="宋体" w:hAnsi="宋体"/>
          <w:b/>
          <w:color w:val="000000"/>
          <w:spacing w:val="8"/>
          <w:szCs w:val="30"/>
          <w:highlight w:val="none"/>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bookmarkStart w:id="0" w:name="_Toc226388022"/>
      <w:bookmarkStart w:id="1" w:name="_Toc226387921"/>
      <w:bookmarkStart w:id="2" w:name="_Toc226388165"/>
    </w:p>
    <w:bookmarkEnd w:id="0"/>
    <w:bookmarkEnd w:id="1"/>
    <w:bookmarkEnd w:id="2"/>
    <w:p w14:paraId="7161FF01">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采购清单</w:t>
      </w:r>
    </w:p>
    <w:tbl>
      <w:tblPr>
        <w:tblStyle w:val="19"/>
        <w:tblW w:w="9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4"/>
        <w:gridCol w:w="1324"/>
        <w:gridCol w:w="2928"/>
        <w:gridCol w:w="972"/>
        <w:gridCol w:w="456"/>
        <w:gridCol w:w="1448"/>
        <w:gridCol w:w="1445"/>
      </w:tblGrid>
      <w:tr w14:paraId="2437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84" w:type="dxa"/>
            <w:vMerge w:val="restart"/>
            <w:tcBorders>
              <w:top w:val="single" w:color="000000" w:sz="4" w:space="0"/>
              <w:left w:val="single" w:color="000000" w:sz="4" w:space="0"/>
              <w:bottom w:val="single" w:color="000000" w:sz="4" w:space="0"/>
              <w:right w:val="single" w:color="000000" w:sz="4" w:space="0"/>
            </w:tcBorders>
            <w:vAlign w:val="center"/>
          </w:tcPr>
          <w:p w14:paraId="2A90420D">
            <w:pPr>
              <w:jc w:val="center"/>
              <w:rPr>
                <w:rFonts w:ascii="仿宋" w:hAnsi="仿宋" w:eastAsia="仿宋" w:cs="黑体"/>
                <w:kern w:val="0"/>
                <w:sz w:val="24"/>
                <w:szCs w:val="22"/>
                <w:highlight w:val="none"/>
              </w:rPr>
            </w:pPr>
            <w:r>
              <w:rPr>
                <w:rFonts w:hint="eastAsia" w:ascii="仿宋" w:hAnsi="仿宋" w:eastAsia="仿宋" w:cs="黑体"/>
                <w:kern w:val="0"/>
                <w:sz w:val="24"/>
                <w:highlight w:val="none"/>
              </w:rPr>
              <w:t>序号</w:t>
            </w:r>
          </w:p>
        </w:tc>
        <w:tc>
          <w:tcPr>
            <w:tcW w:w="1324" w:type="dxa"/>
            <w:vMerge w:val="restart"/>
            <w:tcBorders>
              <w:top w:val="single" w:color="000000" w:sz="4" w:space="0"/>
              <w:left w:val="single" w:color="000000" w:sz="4" w:space="0"/>
              <w:bottom w:val="single" w:color="000000" w:sz="4" w:space="0"/>
              <w:right w:val="single" w:color="000000" w:sz="4" w:space="0"/>
            </w:tcBorders>
            <w:vAlign w:val="center"/>
          </w:tcPr>
          <w:p w14:paraId="4CEAFC45">
            <w:pPr>
              <w:jc w:val="center"/>
              <w:rPr>
                <w:rFonts w:ascii="仿宋" w:hAnsi="仿宋" w:eastAsia="仿宋" w:cs="黑体"/>
                <w:kern w:val="0"/>
                <w:sz w:val="24"/>
                <w:highlight w:val="none"/>
              </w:rPr>
            </w:pPr>
            <w:r>
              <w:rPr>
                <w:rFonts w:hint="eastAsia" w:ascii="仿宋" w:hAnsi="仿宋" w:eastAsia="仿宋" w:cs="黑体"/>
                <w:kern w:val="0"/>
                <w:sz w:val="24"/>
                <w:highlight w:val="none"/>
              </w:rPr>
              <w:t>产品名称</w:t>
            </w:r>
          </w:p>
        </w:tc>
        <w:tc>
          <w:tcPr>
            <w:tcW w:w="2928" w:type="dxa"/>
            <w:vMerge w:val="restart"/>
            <w:tcBorders>
              <w:top w:val="single" w:color="000000" w:sz="4" w:space="0"/>
              <w:left w:val="single" w:color="000000" w:sz="4" w:space="0"/>
              <w:bottom w:val="single" w:color="000000" w:sz="4" w:space="0"/>
              <w:right w:val="single" w:color="000000" w:sz="4" w:space="0"/>
            </w:tcBorders>
            <w:vAlign w:val="center"/>
          </w:tcPr>
          <w:p w14:paraId="2EEE5FF4">
            <w:pPr>
              <w:jc w:val="center"/>
              <w:rPr>
                <w:rFonts w:ascii="仿宋" w:hAnsi="仿宋" w:eastAsia="仿宋" w:cs="黑体"/>
                <w:kern w:val="0"/>
                <w:sz w:val="24"/>
                <w:highlight w:val="none"/>
              </w:rPr>
            </w:pPr>
            <w:r>
              <w:rPr>
                <w:rFonts w:hint="eastAsia" w:ascii="仿宋" w:hAnsi="仿宋" w:eastAsia="仿宋" w:cs="黑体"/>
                <w:kern w:val="0"/>
                <w:sz w:val="24"/>
                <w:highlight w:val="none"/>
              </w:rPr>
              <w:t>规格型号</w:t>
            </w:r>
          </w:p>
        </w:tc>
        <w:tc>
          <w:tcPr>
            <w:tcW w:w="972" w:type="dxa"/>
            <w:vMerge w:val="restart"/>
            <w:tcBorders>
              <w:top w:val="single" w:color="000000" w:sz="4" w:space="0"/>
              <w:left w:val="single" w:color="000000" w:sz="4" w:space="0"/>
              <w:bottom w:val="single" w:color="000000" w:sz="4" w:space="0"/>
              <w:right w:val="single" w:color="auto" w:sz="4" w:space="0"/>
            </w:tcBorders>
            <w:vAlign w:val="center"/>
          </w:tcPr>
          <w:p w14:paraId="66811363">
            <w:pPr>
              <w:jc w:val="center"/>
              <w:rPr>
                <w:rFonts w:ascii="仿宋" w:hAnsi="仿宋" w:eastAsia="仿宋" w:cs="黑体"/>
                <w:kern w:val="0"/>
                <w:sz w:val="24"/>
                <w:highlight w:val="none"/>
              </w:rPr>
            </w:pPr>
            <w:r>
              <w:rPr>
                <w:rFonts w:hint="eastAsia" w:ascii="仿宋" w:hAnsi="仿宋" w:eastAsia="仿宋" w:cs="黑体"/>
                <w:kern w:val="0"/>
                <w:sz w:val="24"/>
                <w:highlight w:val="none"/>
              </w:rPr>
              <w:t>单位</w:t>
            </w:r>
          </w:p>
        </w:tc>
        <w:tc>
          <w:tcPr>
            <w:tcW w:w="456" w:type="dxa"/>
            <w:vMerge w:val="restart"/>
            <w:tcBorders>
              <w:top w:val="single" w:color="000000" w:sz="4" w:space="0"/>
              <w:left w:val="single" w:color="auto" w:sz="4" w:space="0"/>
              <w:bottom w:val="single" w:color="000000" w:sz="4" w:space="0"/>
              <w:right w:val="single" w:color="000000" w:sz="4" w:space="0"/>
            </w:tcBorders>
            <w:vAlign w:val="center"/>
          </w:tcPr>
          <w:p w14:paraId="7E0EE740">
            <w:pPr>
              <w:jc w:val="center"/>
              <w:rPr>
                <w:rFonts w:ascii="仿宋" w:hAnsi="仿宋" w:eastAsia="仿宋" w:cs="黑体"/>
                <w:kern w:val="0"/>
                <w:sz w:val="24"/>
                <w:highlight w:val="none"/>
              </w:rPr>
            </w:pPr>
            <w:r>
              <w:rPr>
                <w:rFonts w:hint="eastAsia" w:ascii="仿宋" w:hAnsi="仿宋" w:eastAsia="仿宋" w:cs="黑体"/>
                <w:kern w:val="0"/>
                <w:sz w:val="24"/>
                <w:highlight w:val="none"/>
              </w:rPr>
              <w:t>数量</w:t>
            </w:r>
          </w:p>
        </w:tc>
        <w:tc>
          <w:tcPr>
            <w:tcW w:w="1448" w:type="dxa"/>
            <w:tcBorders>
              <w:top w:val="single" w:color="000000" w:sz="4" w:space="0"/>
              <w:left w:val="single" w:color="000000" w:sz="4" w:space="0"/>
              <w:bottom w:val="single" w:color="000000" w:sz="4" w:space="0"/>
              <w:right w:val="single" w:color="000000" w:sz="4" w:space="0"/>
            </w:tcBorders>
            <w:vAlign w:val="center"/>
          </w:tcPr>
          <w:p w14:paraId="345F84D3">
            <w:pPr>
              <w:jc w:val="center"/>
              <w:rPr>
                <w:rFonts w:ascii="仿宋" w:hAnsi="仿宋" w:eastAsia="仿宋" w:cs="黑体"/>
                <w:kern w:val="0"/>
                <w:sz w:val="24"/>
                <w:highlight w:val="none"/>
              </w:rPr>
            </w:pPr>
            <w:r>
              <w:rPr>
                <w:rFonts w:hint="eastAsia" w:ascii="仿宋" w:hAnsi="仿宋" w:eastAsia="仿宋" w:cs="黑体"/>
                <w:kern w:val="0"/>
                <w:sz w:val="24"/>
                <w:highlight w:val="none"/>
              </w:rPr>
              <w:t>控制价（元）</w:t>
            </w:r>
          </w:p>
        </w:tc>
        <w:tc>
          <w:tcPr>
            <w:tcW w:w="1445" w:type="dxa"/>
            <w:vMerge w:val="restart"/>
            <w:tcBorders>
              <w:top w:val="single" w:color="000000" w:sz="4" w:space="0"/>
              <w:left w:val="single" w:color="000000" w:sz="4" w:space="0"/>
              <w:right w:val="single" w:color="000000" w:sz="4" w:space="0"/>
            </w:tcBorders>
            <w:vAlign w:val="center"/>
          </w:tcPr>
          <w:p w14:paraId="0A49F1EA">
            <w:pPr>
              <w:jc w:val="center"/>
              <w:rPr>
                <w:rFonts w:ascii="仿宋" w:hAnsi="仿宋" w:eastAsia="仿宋" w:cs="黑体"/>
                <w:kern w:val="0"/>
                <w:sz w:val="24"/>
                <w:highlight w:val="none"/>
              </w:rPr>
            </w:pPr>
            <w:r>
              <w:rPr>
                <w:rFonts w:hint="eastAsia" w:ascii="仿宋" w:hAnsi="仿宋" w:eastAsia="仿宋" w:cs="黑体"/>
                <w:kern w:val="0"/>
                <w:sz w:val="24"/>
                <w:highlight w:val="none"/>
              </w:rPr>
              <w:t>备注</w:t>
            </w:r>
          </w:p>
        </w:tc>
      </w:tr>
      <w:tr w14:paraId="3458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84" w:type="dxa"/>
            <w:vMerge w:val="continue"/>
            <w:tcBorders>
              <w:top w:val="single" w:color="000000" w:sz="4" w:space="0"/>
              <w:left w:val="single" w:color="000000" w:sz="4" w:space="0"/>
              <w:bottom w:val="single" w:color="000000" w:sz="4" w:space="0"/>
              <w:right w:val="single" w:color="000000" w:sz="4" w:space="0"/>
            </w:tcBorders>
            <w:vAlign w:val="center"/>
          </w:tcPr>
          <w:p w14:paraId="6EBBB89C">
            <w:pPr>
              <w:widowControl/>
              <w:jc w:val="left"/>
              <w:rPr>
                <w:rFonts w:ascii="仿宋" w:hAnsi="仿宋" w:eastAsia="仿宋" w:cs="黑体"/>
                <w:kern w:val="0"/>
                <w:sz w:val="24"/>
                <w:szCs w:val="22"/>
                <w:highlight w:val="none"/>
              </w:rPr>
            </w:pPr>
          </w:p>
        </w:tc>
        <w:tc>
          <w:tcPr>
            <w:tcW w:w="1324" w:type="dxa"/>
            <w:vMerge w:val="continue"/>
            <w:tcBorders>
              <w:top w:val="single" w:color="000000" w:sz="4" w:space="0"/>
              <w:left w:val="single" w:color="000000" w:sz="4" w:space="0"/>
              <w:bottom w:val="single" w:color="000000" w:sz="4" w:space="0"/>
              <w:right w:val="single" w:color="000000" w:sz="4" w:space="0"/>
            </w:tcBorders>
            <w:vAlign w:val="center"/>
          </w:tcPr>
          <w:p w14:paraId="6DB17D73">
            <w:pPr>
              <w:widowControl/>
              <w:jc w:val="left"/>
              <w:rPr>
                <w:rFonts w:ascii="仿宋" w:hAnsi="仿宋" w:eastAsia="仿宋" w:cs="黑体"/>
                <w:kern w:val="0"/>
                <w:sz w:val="24"/>
                <w:szCs w:val="22"/>
                <w:highlight w:val="none"/>
              </w:rPr>
            </w:pPr>
          </w:p>
        </w:tc>
        <w:tc>
          <w:tcPr>
            <w:tcW w:w="2928" w:type="dxa"/>
            <w:vMerge w:val="continue"/>
            <w:tcBorders>
              <w:top w:val="single" w:color="000000" w:sz="4" w:space="0"/>
              <w:left w:val="single" w:color="000000" w:sz="4" w:space="0"/>
              <w:bottom w:val="single" w:color="000000" w:sz="4" w:space="0"/>
              <w:right w:val="single" w:color="000000" w:sz="4" w:space="0"/>
            </w:tcBorders>
            <w:vAlign w:val="center"/>
          </w:tcPr>
          <w:p w14:paraId="1E0971C2">
            <w:pPr>
              <w:widowControl/>
              <w:jc w:val="left"/>
              <w:rPr>
                <w:rFonts w:ascii="仿宋" w:hAnsi="仿宋" w:eastAsia="仿宋" w:cs="黑体"/>
                <w:kern w:val="0"/>
                <w:sz w:val="24"/>
                <w:szCs w:val="22"/>
                <w:highlight w:val="none"/>
              </w:rPr>
            </w:pPr>
          </w:p>
        </w:tc>
        <w:tc>
          <w:tcPr>
            <w:tcW w:w="972" w:type="dxa"/>
            <w:vMerge w:val="continue"/>
            <w:tcBorders>
              <w:top w:val="single" w:color="000000" w:sz="4" w:space="0"/>
              <w:left w:val="single" w:color="000000" w:sz="4" w:space="0"/>
              <w:bottom w:val="single" w:color="000000" w:sz="4" w:space="0"/>
              <w:right w:val="single" w:color="auto" w:sz="4" w:space="0"/>
            </w:tcBorders>
            <w:vAlign w:val="center"/>
          </w:tcPr>
          <w:p w14:paraId="02B51243">
            <w:pPr>
              <w:widowControl/>
              <w:jc w:val="left"/>
              <w:rPr>
                <w:rFonts w:ascii="仿宋" w:hAnsi="仿宋" w:eastAsia="仿宋" w:cs="黑体"/>
                <w:kern w:val="0"/>
                <w:sz w:val="24"/>
                <w:szCs w:val="22"/>
                <w:highlight w:val="none"/>
              </w:rPr>
            </w:pPr>
          </w:p>
        </w:tc>
        <w:tc>
          <w:tcPr>
            <w:tcW w:w="456" w:type="dxa"/>
            <w:vMerge w:val="continue"/>
            <w:tcBorders>
              <w:top w:val="single" w:color="000000" w:sz="4" w:space="0"/>
              <w:left w:val="single" w:color="auto" w:sz="4" w:space="0"/>
              <w:bottom w:val="single" w:color="000000" w:sz="4" w:space="0"/>
              <w:right w:val="single" w:color="000000" w:sz="4" w:space="0"/>
            </w:tcBorders>
            <w:vAlign w:val="center"/>
          </w:tcPr>
          <w:p w14:paraId="20325F70">
            <w:pPr>
              <w:widowControl/>
              <w:jc w:val="left"/>
              <w:rPr>
                <w:rFonts w:ascii="仿宋" w:hAnsi="仿宋" w:eastAsia="仿宋" w:cs="黑体"/>
                <w:kern w:val="0"/>
                <w:sz w:val="24"/>
                <w:szCs w:val="22"/>
                <w:highlight w:val="none"/>
              </w:rPr>
            </w:pPr>
          </w:p>
        </w:tc>
        <w:tc>
          <w:tcPr>
            <w:tcW w:w="1448" w:type="dxa"/>
            <w:tcBorders>
              <w:top w:val="single" w:color="000000" w:sz="4" w:space="0"/>
              <w:left w:val="single" w:color="000000" w:sz="4" w:space="0"/>
              <w:bottom w:val="single" w:color="000000" w:sz="4" w:space="0"/>
              <w:right w:val="single" w:color="auto" w:sz="4" w:space="0"/>
            </w:tcBorders>
            <w:vAlign w:val="center"/>
          </w:tcPr>
          <w:p w14:paraId="3F2C4776">
            <w:pPr>
              <w:jc w:val="center"/>
              <w:rPr>
                <w:rFonts w:ascii="仿宋" w:hAnsi="仿宋" w:eastAsia="仿宋" w:cs="黑体"/>
                <w:kern w:val="0"/>
                <w:sz w:val="24"/>
                <w:highlight w:val="none"/>
              </w:rPr>
            </w:pPr>
            <w:r>
              <w:rPr>
                <w:rFonts w:hint="eastAsia" w:ascii="仿宋" w:hAnsi="仿宋" w:eastAsia="仿宋" w:cs="黑体"/>
                <w:kern w:val="0"/>
                <w:sz w:val="24"/>
                <w:highlight w:val="none"/>
              </w:rPr>
              <w:t>含税单价</w:t>
            </w:r>
          </w:p>
        </w:tc>
        <w:tc>
          <w:tcPr>
            <w:tcW w:w="1445" w:type="dxa"/>
            <w:vMerge w:val="continue"/>
            <w:tcBorders>
              <w:left w:val="single" w:color="000000" w:sz="4" w:space="0"/>
              <w:bottom w:val="single" w:color="000000" w:sz="4" w:space="0"/>
              <w:right w:val="single" w:color="000000" w:sz="4" w:space="0"/>
            </w:tcBorders>
            <w:vAlign w:val="center"/>
          </w:tcPr>
          <w:p w14:paraId="28F0DF0B">
            <w:pPr>
              <w:jc w:val="center"/>
              <w:rPr>
                <w:rFonts w:ascii="仿宋" w:hAnsi="仿宋" w:eastAsia="仿宋" w:cs="黑体"/>
                <w:kern w:val="0"/>
                <w:sz w:val="24"/>
                <w:highlight w:val="none"/>
              </w:rPr>
            </w:pPr>
          </w:p>
        </w:tc>
      </w:tr>
      <w:tr w14:paraId="2010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84" w:type="dxa"/>
            <w:tcBorders>
              <w:top w:val="single" w:color="000000" w:sz="4" w:space="0"/>
              <w:left w:val="single" w:color="000000" w:sz="4" w:space="0"/>
              <w:bottom w:val="single" w:color="000000" w:sz="4" w:space="0"/>
              <w:right w:val="single" w:color="000000" w:sz="4" w:space="0"/>
            </w:tcBorders>
            <w:vAlign w:val="center"/>
          </w:tcPr>
          <w:p w14:paraId="6F36AECA">
            <w:pPr>
              <w:jc w:val="center"/>
              <w:rPr>
                <w:rFonts w:ascii="仿宋" w:hAnsi="仿宋" w:eastAsia="仿宋" w:cs="仿宋_GB2312"/>
                <w:kern w:val="0"/>
                <w:sz w:val="24"/>
                <w:highlight w:val="none"/>
              </w:rPr>
            </w:pPr>
            <w:r>
              <w:rPr>
                <w:rFonts w:ascii="仿宋" w:hAnsi="仿宋" w:eastAsia="仿宋" w:cs="仿宋_GB2312"/>
                <w:kern w:val="0"/>
                <w:sz w:val="24"/>
                <w:highlight w:val="none"/>
              </w:rPr>
              <w:t>1</w:t>
            </w:r>
          </w:p>
        </w:tc>
        <w:tc>
          <w:tcPr>
            <w:tcW w:w="1324" w:type="dxa"/>
            <w:tcBorders>
              <w:top w:val="nil"/>
              <w:left w:val="single" w:color="auto" w:sz="4" w:space="0"/>
              <w:bottom w:val="single" w:color="auto" w:sz="4" w:space="0"/>
              <w:right w:val="single" w:color="auto" w:sz="4" w:space="0"/>
            </w:tcBorders>
            <w:shd w:val="clear" w:color="auto" w:fill="auto"/>
            <w:vAlign w:val="center"/>
          </w:tcPr>
          <w:p w14:paraId="1055B10D">
            <w:pPr>
              <w:spacing w:line="500" w:lineRule="exact"/>
              <w:jc w:val="center"/>
              <w:rPr>
                <w:rFonts w:ascii="仿宋" w:hAnsi="仿宋" w:eastAsia="仿宋" w:cs="仿宋_GB2312"/>
                <w:sz w:val="18"/>
                <w:szCs w:val="18"/>
                <w:highlight w:val="none"/>
              </w:rPr>
            </w:pPr>
            <w:r>
              <w:rPr>
                <w:rFonts w:hint="eastAsia" w:ascii="仿宋" w:hAnsi="仿宋" w:eastAsia="仿宋" w:cs="仿宋_GB2312"/>
                <w:sz w:val="18"/>
                <w:szCs w:val="18"/>
                <w:highlight w:val="none"/>
              </w:rPr>
              <w:t>绿化种植土</w:t>
            </w:r>
          </w:p>
        </w:tc>
        <w:tc>
          <w:tcPr>
            <w:tcW w:w="2928" w:type="dxa"/>
            <w:tcBorders>
              <w:top w:val="single" w:color="auto" w:sz="4" w:space="0"/>
              <w:left w:val="nil"/>
              <w:bottom w:val="single" w:color="auto" w:sz="4" w:space="0"/>
              <w:right w:val="single" w:color="auto" w:sz="4" w:space="0"/>
            </w:tcBorders>
            <w:shd w:val="clear" w:color="auto" w:fill="auto"/>
            <w:vAlign w:val="center"/>
          </w:tcPr>
          <w:p w14:paraId="17BAFD81">
            <w:pPr>
              <w:spacing w:line="500" w:lineRule="exact"/>
              <w:jc w:val="center"/>
              <w:rPr>
                <w:rFonts w:ascii="仿宋" w:hAnsi="仿宋" w:eastAsia="仿宋" w:cs="仿宋_GB2312"/>
                <w:sz w:val="18"/>
                <w:szCs w:val="18"/>
                <w:highlight w:val="none"/>
              </w:rPr>
            </w:pPr>
            <w:r>
              <w:rPr>
                <w:rFonts w:hint="eastAsia" w:ascii="仿宋" w:hAnsi="仿宋" w:eastAsia="仿宋" w:cs="仿宋_GB2312"/>
                <w:sz w:val="18"/>
                <w:szCs w:val="18"/>
                <w:highlight w:val="none"/>
              </w:rPr>
              <w:t>一类种植土</w:t>
            </w:r>
          </w:p>
        </w:tc>
        <w:tc>
          <w:tcPr>
            <w:tcW w:w="972" w:type="dxa"/>
            <w:tcBorders>
              <w:top w:val="nil"/>
              <w:left w:val="nil"/>
              <w:bottom w:val="single" w:color="auto" w:sz="4" w:space="0"/>
              <w:right w:val="single" w:color="auto" w:sz="4" w:space="0"/>
            </w:tcBorders>
            <w:shd w:val="clear" w:color="auto" w:fill="auto"/>
            <w:vAlign w:val="center"/>
          </w:tcPr>
          <w:p w14:paraId="520F2846">
            <w:pPr>
              <w:spacing w:line="500" w:lineRule="exact"/>
              <w:jc w:val="center"/>
              <w:rPr>
                <w:rFonts w:ascii="仿宋" w:hAnsi="仿宋" w:eastAsia="仿宋" w:cs="仿宋_GB2312"/>
                <w:sz w:val="18"/>
                <w:szCs w:val="18"/>
                <w:highlight w:val="none"/>
              </w:rPr>
            </w:pPr>
            <w:r>
              <w:rPr>
                <w:rFonts w:hint="eastAsia" w:ascii="仿宋" w:hAnsi="仿宋" w:eastAsia="仿宋" w:cs="仿宋_GB2312"/>
                <w:sz w:val="18"/>
                <w:szCs w:val="18"/>
                <w:highlight w:val="none"/>
              </w:rPr>
              <w:t>立方米</w:t>
            </w:r>
          </w:p>
        </w:tc>
        <w:tc>
          <w:tcPr>
            <w:tcW w:w="456" w:type="dxa"/>
            <w:tcBorders>
              <w:top w:val="single" w:color="000000" w:sz="4" w:space="0"/>
              <w:left w:val="single" w:color="auto" w:sz="4" w:space="0"/>
              <w:bottom w:val="single" w:color="000000" w:sz="4" w:space="0"/>
              <w:right w:val="single" w:color="000000" w:sz="4" w:space="0"/>
            </w:tcBorders>
            <w:shd w:val="clear" w:color="auto" w:fill="auto"/>
            <w:vAlign w:val="center"/>
          </w:tcPr>
          <w:p w14:paraId="662E9234">
            <w:pPr>
              <w:spacing w:line="500" w:lineRule="exact"/>
              <w:jc w:val="center"/>
              <w:rPr>
                <w:rFonts w:ascii="仿宋" w:hAnsi="仿宋" w:eastAsia="仿宋" w:cs="仿宋_GB2312"/>
                <w:sz w:val="18"/>
                <w:szCs w:val="18"/>
                <w:highlight w:val="none"/>
              </w:rPr>
            </w:pPr>
            <w:r>
              <w:rPr>
                <w:rFonts w:hint="eastAsia" w:ascii="仿宋" w:hAnsi="仿宋" w:eastAsia="仿宋" w:cs="仿宋_GB2312"/>
                <w:sz w:val="18"/>
                <w:szCs w:val="18"/>
                <w:highlight w:val="none"/>
              </w:rPr>
              <w:t>1</w:t>
            </w:r>
          </w:p>
        </w:tc>
        <w:tc>
          <w:tcPr>
            <w:tcW w:w="1448" w:type="dxa"/>
            <w:tcBorders>
              <w:top w:val="single" w:color="auto" w:sz="4" w:space="0"/>
              <w:left w:val="single" w:color="auto" w:sz="4" w:space="0"/>
              <w:bottom w:val="single" w:color="auto" w:sz="4" w:space="0"/>
              <w:right w:val="single" w:color="auto" w:sz="4" w:space="0"/>
            </w:tcBorders>
            <w:vAlign w:val="center"/>
          </w:tcPr>
          <w:p w14:paraId="2FF992D4">
            <w:pPr>
              <w:widowControl/>
              <w:jc w:val="center"/>
              <w:textAlignment w:val="center"/>
              <w:rPr>
                <w:rFonts w:ascii="等线" w:hAnsi="等线" w:eastAsia="等线"/>
                <w:color w:val="000000"/>
                <w:sz w:val="22"/>
                <w:highlight w:val="none"/>
              </w:rPr>
            </w:pPr>
            <w:r>
              <w:rPr>
                <w:rFonts w:hint="eastAsia" w:ascii="仿宋" w:hAnsi="仿宋" w:eastAsia="仿宋" w:cs="仿宋"/>
                <w:color w:val="000000"/>
                <w:kern w:val="0"/>
                <w:sz w:val="18"/>
                <w:szCs w:val="18"/>
                <w:highlight w:val="none"/>
                <w:lang w:bidi="ar"/>
              </w:rPr>
              <w:t>25.25</w:t>
            </w:r>
          </w:p>
        </w:tc>
        <w:tc>
          <w:tcPr>
            <w:tcW w:w="1445" w:type="dxa"/>
            <w:tcBorders>
              <w:top w:val="single" w:color="auto" w:sz="4" w:space="0"/>
              <w:left w:val="single" w:color="auto" w:sz="4" w:space="0"/>
              <w:bottom w:val="single" w:color="auto" w:sz="4" w:space="0"/>
              <w:right w:val="single" w:color="auto" w:sz="4" w:space="0"/>
            </w:tcBorders>
            <w:vAlign w:val="center"/>
          </w:tcPr>
          <w:p w14:paraId="3667F5AE">
            <w:pPr>
              <w:widowControl/>
              <w:jc w:val="center"/>
              <w:textAlignment w:val="center"/>
              <w:rPr>
                <w:rFonts w:ascii="仿宋" w:hAnsi="仿宋" w:eastAsia="仿宋" w:cs="仿宋"/>
                <w:color w:val="000000"/>
                <w:kern w:val="0"/>
                <w:sz w:val="18"/>
                <w:szCs w:val="18"/>
                <w:highlight w:val="none"/>
                <w:lang w:bidi="ar"/>
              </w:rPr>
            </w:pPr>
            <w:r>
              <w:rPr>
                <w:rFonts w:hint="eastAsia" w:ascii="仿宋" w:hAnsi="仿宋" w:eastAsia="仿宋" w:cs="仿宋"/>
                <w:color w:val="000000"/>
                <w:kern w:val="0"/>
                <w:sz w:val="18"/>
                <w:szCs w:val="18"/>
                <w:highlight w:val="none"/>
                <w:lang w:bidi="ar"/>
              </w:rPr>
              <w:t>本控制价包含种植土运输费用，运输费不额外支付。</w:t>
            </w:r>
          </w:p>
        </w:tc>
      </w:tr>
      <w:tr w14:paraId="10815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6164" w:type="dxa"/>
            <w:gridSpan w:val="5"/>
            <w:tcBorders>
              <w:top w:val="single" w:color="000000" w:sz="4" w:space="0"/>
              <w:left w:val="single" w:color="000000" w:sz="4" w:space="0"/>
              <w:bottom w:val="single" w:color="000000" w:sz="4" w:space="0"/>
              <w:right w:val="single" w:color="000000" w:sz="4" w:space="0"/>
            </w:tcBorders>
            <w:vAlign w:val="center"/>
          </w:tcPr>
          <w:p w14:paraId="33D54B1B">
            <w:pPr>
              <w:pStyle w:val="31"/>
              <w:spacing w:line="360" w:lineRule="auto"/>
              <w:ind w:firstLine="0" w:firstLineChars="0"/>
              <w:jc w:val="center"/>
              <w:rPr>
                <w:rFonts w:ascii="仿宋" w:hAnsi="仿宋" w:eastAsia="仿宋" w:cs="仿宋_GB2312"/>
                <w:kern w:val="0"/>
                <w:sz w:val="24"/>
                <w:highlight w:val="none"/>
              </w:rPr>
            </w:pPr>
            <w:r>
              <w:rPr>
                <w:rFonts w:hint="eastAsia" w:ascii="仿宋" w:hAnsi="仿宋" w:eastAsia="仿宋"/>
                <w:sz w:val="24"/>
                <w:highlight w:val="none"/>
              </w:rPr>
              <w:t>合计</w:t>
            </w:r>
          </w:p>
        </w:tc>
        <w:tc>
          <w:tcPr>
            <w:tcW w:w="1448" w:type="dxa"/>
            <w:tcBorders>
              <w:top w:val="single" w:color="auto" w:sz="4" w:space="0"/>
              <w:left w:val="single" w:color="auto" w:sz="4" w:space="0"/>
              <w:bottom w:val="single" w:color="auto" w:sz="4" w:space="0"/>
              <w:right w:val="single" w:color="auto" w:sz="4" w:space="0"/>
            </w:tcBorders>
            <w:vAlign w:val="center"/>
          </w:tcPr>
          <w:p w14:paraId="798304BE">
            <w:pPr>
              <w:jc w:val="center"/>
              <w:rPr>
                <w:rFonts w:ascii="仿宋" w:hAnsi="仿宋" w:eastAsia="仿宋"/>
                <w:sz w:val="24"/>
                <w:highlight w:val="none"/>
              </w:rPr>
            </w:pPr>
            <w:r>
              <w:rPr>
                <w:rFonts w:hint="eastAsia" w:ascii="仿宋" w:hAnsi="仿宋" w:eastAsia="仿宋"/>
                <w:sz w:val="24"/>
                <w:highlight w:val="none"/>
              </w:rPr>
              <w:t>25.25</w:t>
            </w:r>
          </w:p>
        </w:tc>
        <w:tc>
          <w:tcPr>
            <w:tcW w:w="1445" w:type="dxa"/>
            <w:tcBorders>
              <w:top w:val="single" w:color="auto" w:sz="4" w:space="0"/>
              <w:left w:val="single" w:color="auto" w:sz="4" w:space="0"/>
              <w:bottom w:val="single" w:color="auto" w:sz="4" w:space="0"/>
              <w:right w:val="single" w:color="auto" w:sz="4" w:space="0"/>
            </w:tcBorders>
            <w:vAlign w:val="center"/>
          </w:tcPr>
          <w:p w14:paraId="412E7EB1">
            <w:pPr>
              <w:jc w:val="center"/>
              <w:rPr>
                <w:rFonts w:ascii="仿宋" w:hAnsi="仿宋" w:eastAsia="仿宋"/>
                <w:sz w:val="24"/>
                <w:highlight w:val="none"/>
              </w:rPr>
            </w:pPr>
          </w:p>
        </w:tc>
      </w:tr>
    </w:tbl>
    <w:p w14:paraId="08809E48">
      <w:pPr>
        <w:spacing w:line="520" w:lineRule="exact"/>
        <w:jc w:val="center"/>
        <w:rPr>
          <w:rFonts w:ascii="仿宋" w:hAnsi="仿宋" w:eastAsia="仿宋" w:cs="方正小标宋_GBK"/>
          <w:sz w:val="21"/>
          <w:szCs w:val="21"/>
          <w:highlight w:val="none"/>
        </w:rPr>
      </w:pPr>
    </w:p>
    <w:p w14:paraId="1DE34CAA">
      <w:pPr>
        <w:spacing w:line="500" w:lineRule="exact"/>
        <w:jc w:val="center"/>
        <w:rPr>
          <w:rFonts w:ascii="仿宋_GB2312" w:hAnsi="仿宋_GB2312" w:cs="仿宋_GB2312"/>
          <w:sz w:val="32"/>
          <w:szCs w:val="32"/>
          <w:highlight w:val="none"/>
        </w:rPr>
        <w:sectPr>
          <w:pgSz w:w="11906" w:h="16838"/>
          <w:pgMar w:top="2098" w:right="1474" w:bottom="1984" w:left="1587" w:header="851" w:footer="992" w:gutter="0"/>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3"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3"/>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bookmarkStart w:id="4" w:name="_GoBack"/>
      <w:bookmarkEnd w:id="4"/>
    </w:p>
    <w:sectPr>
      <w:headerReference r:id="rId5" w:type="default"/>
      <w:footerReference r:id="rId6" w:type="default"/>
      <w:pgSz w:w="11906" w:h="16838"/>
      <w:pgMar w:top="2098" w:right="1474" w:bottom="1984" w:left="1587" w:header="851" w:footer="992" w:gutter="0"/>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Song, _x000B__x000C_, Beij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- 2 -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- 2 -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E4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635"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- 21 -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- 21 -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366E"/>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2FC1"/>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3AC0"/>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3EAE"/>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A61B7D"/>
    <w:rsid w:val="03190CB5"/>
    <w:rsid w:val="049616D0"/>
    <w:rsid w:val="04C1292B"/>
    <w:rsid w:val="05912686"/>
    <w:rsid w:val="05954ED0"/>
    <w:rsid w:val="05EA00DE"/>
    <w:rsid w:val="063534FF"/>
    <w:rsid w:val="06DD262D"/>
    <w:rsid w:val="070D4163"/>
    <w:rsid w:val="073846FC"/>
    <w:rsid w:val="086B4990"/>
    <w:rsid w:val="08A013DA"/>
    <w:rsid w:val="08B5322E"/>
    <w:rsid w:val="09055C21"/>
    <w:rsid w:val="090D712F"/>
    <w:rsid w:val="09646A02"/>
    <w:rsid w:val="09C35DE1"/>
    <w:rsid w:val="09D50ABF"/>
    <w:rsid w:val="09E00A6F"/>
    <w:rsid w:val="0B474027"/>
    <w:rsid w:val="0C394176"/>
    <w:rsid w:val="0DC12675"/>
    <w:rsid w:val="0E5F6B1F"/>
    <w:rsid w:val="0E981655"/>
    <w:rsid w:val="0FA77178"/>
    <w:rsid w:val="105D0223"/>
    <w:rsid w:val="10B36C33"/>
    <w:rsid w:val="114607D2"/>
    <w:rsid w:val="13256B7A"/>
    <w:rsid w:val="149A0E55"/>
    <w:rsid w:val="1550556C"/>
    <w:rsid w:val="16173BF0"/>
    <w:rsid w:val="16314110"/>
    <w:rsid w:val="167A5BAC"/>
    <w:rsid w:val="174A03C5"/>
    <w:rsid w:val="18061116"/>
    <w:rsid w:val="18513BAE"/>
    <w:rsid w:val="1885795F"/>
    <w:rsid w:val="18893D8F"/>
    <w:rsid w:val="199316F5"/>
    <w:rsid w:val="1A3E1BB1"/>
    <w:rsid w:val="1BEF21AB"/>
    <w:rsid w:val="1BF270EF"/>
    <w:rsid w:val="1C101DCE"/>
    <w:rsid w:val="1CC22144"/>
    <w:rsid w:val="1DAE3F9A"/>
    <w:rsid w:val="1EF57411"/>
    <w:rsid w:val="206804C4"/>
    <w:rsid w:val="206F5D88"/>
    <w:rsid w:val="207D68CF"/>
    <w:rsid w:val="20D31D8D"/>
    <w:rsid w:val="21244412"/>
    <w:rsid w:val="21351FFB"/>
    <w:rsid w:val="21F3740F"/>
    <w:rsid w:val="22287868"/>
    <w:rsid w:val="228F3BB1"/>
    <w:rsid w:val="22E93633"/>
    <w:rsid w:val="22F56BF1"/>
    <w:rsid w:val="2353724F"/>
    <w:rsid w:val="23863352"/>
    <w:rsid w:val="24FD4D6B"/>
    <w:rsid w:val="28B400B9"/>
    <w:rsid w:val="28CC1638"/>
    <w:rsid w:val="2AB64C21"/>
    <w:rsid w:val="2B0A06C6"/>
    <w:rsid w:val="2C876007"/>
    <w:rsid w:val="2DC12766"/>
    <w:rsid w:val="2EBC49F9"/>
    <w:rsid w:val="2F480FA5"/>
    <w:rsid w:val="3148394C"/>
    <w:rsid w:val="321B5F48"/>
    <w:rsid w:val="32F14AE3"/>
    <w:rsid w:val="33114359"/>
    <w:rsid w:val="33784C9D"/>
    <w:rsid w:val="342411DF"/>
    <w:rsid w:val="35780716"/>
    <w:rsid w:val="35B73962"/>
    <w:rsid w:val="36176A26"/>
    <w:rsid w:val="36301896"/>
    <w:rsid w:val="36BC0860"/>
    <w:rsid w:val="372A1B49"/>
    <w:rsid w:val="37617D52"/>
    <w:rsid w:val="376712E7"/>
    <w:rsid w:val="39665553"/>
    <w:rsid w:val="3ABC4D9E"/>
    <w:rsid w:val="3AD62A0C"/>
    <w:rsid w:val="3D1C4604"/>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E503D2"/>
    <w:rsid w:val="444A5418"/>
    <w:rsid w:val="44977732"/>
    <w:rsid w:val="44FC0D59"/>
    <w:rsid w:val="45F46709"/>
    <w:rsid w:val="467A1037"/>
    <w:rsid w:val="48265F7A"/>
    <w:rsid w:val="48B436F3"/>
    <w:rsid w:val="4A446A4D"/>
    <w:rsid w:val="4A7E66D3"/>
    <w:rsid w:val="4B102B0C"/>
    <w:rsid w:val="4B762FEE"/>
    <w:rsid w:val="4C017994"/>
    <w:rsid w:val="4C0B51F3"/>
    <w:rsid w:val="4CDA6DD6"/>
    <w:rsid w:val="4DB632CA"/>
    <w:rsid w:val="4DC301BD"/>
    <w:rsid w:val="4F092A77"/>
    <w:rsid w:val="4F3363B9"/>
    <w:rsid w:val="4F645E30"/>
    <w:rsid w:val="51F06651"/>
    <w:rsid w:val="522D7E73"/>
    <w:rsid w:val="52344790"/>
    <w:rsid w:val="52EB1AE5"/>
    <w:rsid w:val="53CF133C"/>
    <w:rsid w:val="54592CBD"/>
    <w:rsid w:val="54EB3A9F"/>
    <w:rsid w:val="55713605"/>
    <w:rsid w:val="55C51BA3"/>
    <w:rsid w:val="57260D5A"/>
    <w:rsid w:val="584A6F9F"/>
    <w:rsid w:val="586E3F41"/>
    <w:rsid w:val="58704048"/>
    <w:rsid w:val="58BA1767"/>
    <w:rsid w:val="58C85C32"/>
    <w:rsid w:val="58F46A27"/>
    <w:rsid w:val="595079D6"/>
    <w:rsid w:val="597E4F19"/>
    <w:rsid w:val="59851C6F"/>
    <w:rsid w:val="59E85E60"/>
    <w:rsid w:val="5A4A08C9"/>
    <w:rsid w:val="5A575323"/>
    <w:rsid w:val="5C7400AD"/>
    <w:rsid w:val="5CCA7752"/>
    <w:rsid w:val="610961DB"/>
    <w:rsid w:val="621668B9"/>
    <w:rsid w:val="63F65FAC"/>
    <w:rsid w:val="650A669A"/>
    <w:rsid w:val="65A81A41"/>
    <w:rsid w:val="65FF07B9"/>
    <w:rsid w:val="6646724B"/>
    <w:rsid w:val="669E7453"/>
    <w:rsid w:val="672B73E7"/>
    <w:rsid w:val="67340937"/>
    <w:rsid w:val="679964D4"/>
    <w:rsid w:val="67B13C5E"/>
    <w:rsid w:val="69A766FF"/>
    <w:rsid w:val="6A7176EF"/>
    <w:rsid w:val="6C4D026D"/>
    <w:rsid w:val="6C8856AD"/>
    <w:rsid w:val="6D2D4F75"/>
    <w:rsid w:val="6D8E6FF3"/>
    <w:rsid w:val="70657DB3"/>
    <w:rsid w:val="70DF7B65"/>
    <w:rsid w:val="72657CBB"/>
    <w:rsid w:val="74066E64"/>
    <w:rsid w:val="74B82BA7"/>
    <w:rsid w:val="75036D8E"/>
    <w:rsid w:val="759576A7"/>
    <w:rsid w:val="75E35A02"/>
    <w:rsid w:val="771A5453"/>
    <w:rsid w:val="77944BDC"/>
    <w:rsid w:val="77DF4E4F"/>
    <w:rsid w:val="79FF2F9E"/>
    <w:rsid w:val="7A01594F"/>
    <w:rsid w:val="7B2120E1"/>
    <w:rsid w:val="7B694BFB"/>
    <w:rsid w:val="7B6B78B8"/>
    <w:rsid w:val="7D4418CA"/>
    <w:rsid w:val="7D7D2BE0"/>
    <w:rsid w:val="7DA71A0B"/>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20939-D119-49F0-9962-31FC4B646BF8}">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1113</Words>
  <Characters>1265</Characters>
  <Lines>81</Lines>
  <Paragraphs>22</Paragraphs>
  <TotalTime>24</TotalTime>
  <ScaleCrop>false</ScaleCrop>
  <LinksUpToDate>false</LinksUpToDate>
  <CharactersWithSpaces>1317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Administrator</cp:lastModifiedBy>
  <cp:lastPrinted>2023-05-12T06:49:00Z</cp:lastPrinted>
  <dcterms:modified xsi:type="dcterms:W3CDTF">2025-11-14T06:09:26Z</dcterms:modified>
  <dc:title>唐山市西山道供热管网改造工程</dc:title>
  <cp:revision>546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DF1F21A8F4934B518DDFCC1F398F9F9A_13</vt:lpwstr>
  </property>
  <property fmtid="{D5CDD505-2E9C-101B-9397-08002B2CF9AE}" pid="4" name="KSOTemplateDocerSaveRecord">
    <vt:lpwstr>eyJoZGlkIjoiYTQ3MTJkOWZlOWQ2NWU4Mzg4ODU5MTUyNzk5YTczZjkiLCJ1c2VySWQiOiIxNDg0NzQyMjAyIn0=</vt:lpwstr>
  </property>
</Properties>
</file>