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12710"/>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青岛脑病康复医院项目室外电力工程、敦信路路灯电缆敷设施工等项目材料进行采购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项目名称：青岛脑病康复医院项目室外电力工程、敦信路路灯电缆敷设施工等项目材料采购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61911529"/>
      <w:bookmarkStart w:id="3" w:name="_Toc177131613"/>
      <w:bookmarkStart w:id="4" w:name="_Toc190866314"/>
      <w:bookmarkStart w:id="5" w:name="_Toc190936604"/>
    </w:p>
    <w:p w14:paraId="7A85B013">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sz w:val="28"/>
          <w:szCs w:val="28"/>
          <w:highlight w:val="none"/>
          <w:lang w:val="en-US" w:eastAsia="zh-CN"/>
        </w:rPr>
        <w:t xml:space="preserve">    3.采购内容：</w:t>
      </w:r>
      <w:bookmarkEnd w:id="2"/>
      <w:bookmarkEnd w:id="3"/>
      <w:bookmarkEnd w:id="4"/>
      <w:bookmarkEnd w:id="5"/>
      <w:r>
        <w:rPr>
          <w:rFonts w:hint="eastAsia"/>
          <w:sz w:val="28"/>
          <w:szCs w:val="28"/>
          <w:highlight w:val="none"/>
          <w:lang w:val="en-US" w:eastAsia="zh-CN"/>
        </w:rPr>
        <w:t>电气材料,详见采购清单;采购控制价：含税价85396.30元（税率13%），不含税总价为75571.95元。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.2供应商必须具备相关营业资格,所生产的产品必须符合国家、行业标准相关要求，并在人员、设备、技术、资金等方面具备相应的能力。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4185"/>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hint="default" w:ascii="仿宋" w:hAnsi="仿宋" w:eastAsia="仿宋"/>
          <w:b w:val="0"/>
          <w:sz w:val="28"/>
          <w:szCs w:val="28"/>
          <w:highlight w:val="none"/>
          <w:lang w:val="en-US" w:eastAsia="zh-CN"/>
        </w:rPr>
      </w:pPr>
      <w:bookmarkStart w:id="11" w:name="_Toc138080264"/>
      <w:bookmarkStart w:id="12" w:name="_Toc19866"/>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2"/>
      <w:r>
        <w:rPr>
          <w:rStyle w:val="44"/>
          <w:rFonts w:hint="eastAsia" w:ascii="仿宋" w:hAnsi="仿宋" w:eastAsia="仿宋"/>
          <w:b w:val="0"/>
          <w:sz w:val="28"/>
          <w:szCs w:val="28"/>
          <w:highlight w:val="none"/>
          <w:lang w:val="en-US" w:eastAsia="zh-CN"/>
        </w:rPr>
        <w:t xml:space="preserve"> </w:t>
      </w:r>
    </w:p>
    <w:p w14:paraId="4E4D9C6D">
      <w:pPr>
        <w:pStyle w:val="4"/>
        <w:spacing w:before="0" w:after="0" w:line="560" w:lineRule="exact"/>
        <w:jc w:val="left"/>
        <w:rPr>
          <w:rFonts w:asciiTheme="minorEastAsia" w:hAnsiTheme="minorEastAsia" w:eastAsiaTheme="minorEastAsia"/>
          <w:sz w:val="28"/>
          <w:szCs w:val="28"/>
          <w:highlight w:val="none"/>
        </w:rPr>
      </w:pPr>
      <w:bookmarkStart w:id="13" w:name="_Toc134452751"/>
      <w:bookmarkStart w:id="14" w:name="_Toc26984"/>
      <w:bookmarkStart w:id="15" w:name="_Toc138080266"/>
      <w:r>
        <w:rPr>
          <w:rFonts w:hint="eastAsia" w:asciiTheme="minorEastAsia" w:hAnsiTheme="minorEastAsia" w:eastAsiaTheme="minorEastAsia"/>
          <w:sz w:val="28"/>
          <w:szCs w:val="28"/>
          <w:highlight w:val="none"/>
        </w:rPr>
        <w:t>2.技术要求</w:t>
      </w:r>
      <w:bookmarkEnd w:id="13"/>
      <w:bookmarkEnd w:id="14"/>
      <w:bookmarkEnd w:id="15"/>
    </w:p>
    <w:p w14:paraId="03D87454">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★供方需保证其所提供的产品必须是合同所确定的正宗原装产品，其型号、规格必须符合招标产品所列的各项参数，质量必须达到该项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的国家标准及行业质量标准，严禁使用不合格材料，假一罚十；所附各种资料及配件等必须齐全。</w:t>
      </w:r>
    </w:p>
    <w:p w14:paraId="3DE1AAD7">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2.2.产品的验收按照国家标准、行业标准进行，如相关产品所用工程项目验收中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AF324E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A7FE72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日内交货。</w:t>
      </w:r>
    </w:p>
    <w:p w14:paraId="31AE4DD5">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26D520F1">
      <w:pPr>
        <w:pStyle w:val="4"/>
        <w:spacing w:before="0" w:after="0" w:line="560" w:lineRule="exact"/>
        <w:jc w:val="left"/>
        <w:rPr>
          <w:rFonts w:hint="eastAsia" w:asciiTheme="minorEastAsia" w:hAnsiTheme="minorEastAsia" w:eastAsiaTheme="minorEastAsia"/>
          <w:sz w:val="28"/>
          <w:szCs w:val="28"/>
          <w:highlight w:val="none"/>
        </w:rPr>
      </w:pPr>
      <w:bookmarkStart w:id="17" w:name="_Toc138080267"/>
      <w:bookmarkStart w:id="18" w:name="_Toc18686"/>
      <w:r>
        <w:rPr>
          <w:rFonts w:hint="eastAsia" w:asciiTheme="minorEastAsia" w:hAnsiTheme="minorEastAsia" w:eastAsiaTheme="minorEastAsia"/>
          <w:sz w:val="28"/>
          <w:szCs w:val="28"/>
          <w:highlight w:val="none"/>
        </w:rPr>
        <w:t>★3.付款方式</w:t>
      </w:r>
      <w:bookmarkEnd w:id="16"/>
      <w:bookmarkEnd w:id="17"/>
      <w:bookmarkEnd w:id="18"/>
    </w:p>
    <w:p w14:paraId="48BEE625">
      <w:pPr>
        <w:spacing w:line="560" w:lineRule="exact"/>
        <w:ind w:firstLine="560" w:firstLineChars="200"/>
        <w:rPr>
          <w:rFonts w:hint="eastAsia" w:ascii="仿宋" w:hAnsi="仿宋" w:eastAsia="仿宋"/>
          <w:sz w:val="28"/>
          <w:szCs w:val="28"/>
          <w:highlight w:val="none"/>
        </w:rPr>
      </w:pPr>
      <w:bookmarkStart w:id="19" w:name="_Toc134452755"/>
      <w:bookmarkStart w:id="20" w:name="_Toc138080268"/>
      <w:bookmarkStart w:id="21" w:name="_Toc134452756"/>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w:t>
      </w:r>
      <w:r>
        <w:rPr>
          <w:rFonts w:hint="eastAsia" w:ascii="仿宋" w:hAnsi="仿宋" w:eastAsia="仿宋"/>
          <w:sz w:val="28"/>
          <w:szCs w:val="28"/>
          <w:highlight w:val="none"/>
          <w:lang w:eastAsia="zh-CN"/>
        </w:rPr>
        <w:t>；</w:t>
      </w:r>
      <w:r>
        <w:rPr>
          <w:rFonts w:hint="eastAsia" w:ascii="仿宋" w:hAnsi="仿宋" w:eastAsia="仿宋"/>
          <w:sz w:val="28"/>
          <w:szCs w:val="28"/>
          <w:highlight w:val="none"/>
        </w:rPr>
        <w:t>产品到货验收合格</w:t>
      </w:r>
      <w:r>
        <w:rPr>
          <w:rFonts w:hint="eastAsia" w:ascii="仿宋" w:hAnsi="仿宋" w:eastAsia="仿宋"/>
          <w:sz w:val="28"/>
          <w:szCs w:val="28"/>
          <w:highlight w:val="none"/>
          <w:lang w:val="en-US" w:eastAsia="zh-CN"/>
        </w:rPr>
        <w:t>满</w:t>
      </w:r>
      <w:r>
        <w:rPr>
          <w:rFonts w:hint="eastAsia" w:ascii="仿宋" w:hAnsi="仿宋" w:eastAsia="仿宋"/>
          <w:sz w:val="28"/>
          <w:szCs w:val="28"/>
          <w:highlight w:val="none"/>
        </w:rPr>
        <w:t>三个月后付至总货款的95％，供方需一次性开具全额增值税专用发票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如遇税率调整，按照最新税率政策执行</w:t>
      </w:r>
      <w:r>
        <w:rPr>
          <w:rFonts w:hint="eastAsia" w:ascii="仿宋" w:hAnsi="仿宋" w:eastAsia="仿宋"/>
          <w:sz w:val="28"/>
          <w:szCs w:val="28"/>
          <w:highlight w:val="none"/>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bookmarkEnd w:id="19"/>
    <w:p w14:paraId="71AE1515">
      <w:pPr>
        <w:pStyle w:val="4"/>
        <w:spacing w:before="0" w:after="0" w:line="560" w:lineRule="exact"/>
        <w:jc w:val="left"/>
        <w:rPr>
          <w:rFonts w:asciiTheme="minorEastAsia" w:hAnsiTheme="minorEastAsia" w:eastAsiaTheme="minorEastAsia"/>
          <w:sz w:val="28"/>
          <w:szCs w:val="28"/>
          <w:highlight w:val="none"/>
        </w:rPr>
      </w:pPr>
      <w:bookmarkStart w:id="22" w:name="_Toc18474"/>
      <w:r>
        <w:rPr>
          <w:rFonts w:hint="eastAsia" w:asciiTheme="minorEastAsia" w:hAnsiTheme="minorEastAsia" w:eastAsiaTheme="minorEastAsia"/>
          <w:sz w:val="28"/>
          <w:szCs w:val="28"/>
          <w:highlight w:val="none"/>
        </w:rPr>
        <w:t>4.验收</w:t>
      </w:r>
      <w:bookmarkEnd w:id="20"/>
      <w:bookmarkEnd w:id="22"/>
    </w:p>
    <w:p w14:paraId="4862C08A">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71ADFBD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1BD6F2B9">
      <w:pPr>
        <w:pStyle w:val="4"/>
        <w:spacing w:before="0" w:after="0" w:line="560" w:lineRule="exact"/>
        <w:jc w:val="left"/>
        <w:rPr>
          <w:rFonts w:asciiTheme="minorEastAsia" w:hAnsiTheme="minorEastAsia" w:eastAsiaTheme="minorEastAsia"/>
          <w:sz w:val="28"/>
          <w:szCs w:val="28"/>
          <w:highlight w:val="none"/>
        </w:rPr>
      </w:pPr>
      <w:bookmarkStart w:id="23" w:name="_Toc138080269"/>
      <w:bookmarkStart w:id="24" w:name="_Toc3086"/>
      <w:r>
        <w:rPr>
          <w:rFonts w:hint="eastAsia" w:asciiTheme="minorEastAsia" w:hAnsiTheme="minorEastAsia" w:eastAsiaTheme="minorEastAsia"/>
          <w:sz w:val="28"/>
          <w:szCs w:val="28"/>
          <w:highlight w:val="none"/>
        </w:rPr>
        <w:t>5.</w:t>
      </w:r>
      <w:bookmarkEnd w:id="21"/>
      <w:r>
        <w:rPr>
          <w:rFonts w:hint="eastAsia" w:asciiTheme="minorEastAsia" w:hAnsiTheme="minorEastAsia" w:eastAsiaTheme="minorEastAsia"/>
          <w:sz w:val="28"/>
          <w:szCs w:val="28"/>
          <w:highlight w:val="none"/>
        </w:rPr>
        <w:t>质量保证期</w:t>
      </w:r>
      <w:bookmarkEnd w:id="23"/>
      <w:bookmarkEnd w:id="24"/>
    </w:p>
    <w:p w14:paraId="49F7910A">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4DF63712">
      <w:pPr>
        <w:pStyle w:val="4"/>
        <w:spacing w:before="0" w:after="0" w:line="560" w:lineRule="exact"/>
        <w:jc w:val="left"/>
        <w:rPr>
          <w:rFonts w:asciiTheme="minorEastAsia" w:hAnsiTheme="minorEastAsia" w:eastAsiaTheme="minorEastAsia"/>
          <w:sz w:val="28"/>
          <w:szCs w:val="28"/>
          <w:highlight w:val="none"/>
        </w:rPr>
      </w:pPr>
      <w:bookmarkStart w:id="25" w:name="_Toc138080270"/>
      <w:bookmarkStart w:id="26" w:name="_Toc27287"/>
      <w:r>
        <w:rPr>
          <w:rFonts w:hint="eastAsia" w:asciiTheme="minorEastAsia" w:hAnsiTheme="minorEastAsia" w:eastAsiaTheme="minorEastAsia"/>
          <w:sz w:val="28"/>
          <w:szCs w:val="28"/>
          <w:highlight w:val="none"/>
        </w:rPr>
        <w:t>6.售后服务</w:t>
      </w:r>
      <w:bookmarkEnd w:id="25"/>
      <w:bookmarkEnd w:id="26"/>
    </w:p>
    <w:p w14:paraId="2E2508D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475829B6">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06AF8208">
      <w:pPr>
        <w:spacing w:line="56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带“★”条款为实质性条款，成交人必须按照采购文件的要求做出实质性响应。</w:t>
      </w:r>
    </w:p>
    <w:p w14:paraId="00D1D37B">
      <w:pPr>
        <w:bidi w:val="0"/>
        <w:rPr>
          <w:rFonts w:ascii="Times New Roman" w:hAnsi="Times New Roman" w:eastAsia="宋体" w:cs="Times New Roman"/>
          <w:kern w:val="2"/>
          <w:sz w:val="21"/>
          <w:szCs w:val="22"/>
          <w:highlight w:val="none"/>
          <w:lang w:val="en-US" w:eastAsia="zh-CN" w:bidi="ar-SA"/>
        </w:rPr>
      </w:pPr>
    </w:p>
    <w:p w14:paraId="27C30BB1">
      <w:pPr>
        <w:bidi w:val="0"/>
        <w:rPr>
          <w:rFonts w:ascii="Times New Roman" w:hAnsi="Times New Roman" w:eastAsia="宋体" w:cs="Times New Roman"/>
          <w:kern w:val="2"/>
          <w:sz w:val="21"/>
          <w:szCs w:val="22"/>
          <w:highlight w:val="none"/>
          <w:lang w:val="en-US" w:eastAsia="zh-CN" w:bidi="ar-SA"/>
        </w:rPr>
      </w:pPr>
    </w:p>
    <w:p w14:paraId="25F8605A">
      <w:pPr>
        <w:rPr>
          <w:b/>
          <w:highlight w:val="none"/>
        </w:rPr>
      </w:pPr>
      <w:r>
        <w:rPr>
          <w:rFonts w:hint="eastAsia" w:ascii="仿宋" w:hAnsi="仿宋" w:eastAsia="仿宋"/>
          <w:b/>
          <w:bCs/>
          <w:sz w:val="28"/>
          <w:szCs w:val="28"/>
          <w:highlight w:val="none"/>
        </w:rPr>
        <w:t>附录：青岛脑病康复医院项目室外电力工程、敦信路路灯电缆敷设施工等项目材料采购清单控制价（含税价，增值税税率为13%）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1635"/>
        <w:gridCol w:w="2115"/>
        <w:gridCol w:w="787"/>
        <w:gridCol w:w="1030"/>
        <w:gridCol w:w="2008"/>
        <w:gridCol w:w="1409"/>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7"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低压户内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冷缩电缆头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YTTW-4*25+1*16，含镀锡铜端子</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169.67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339.34 </w:t>
            </w:r>
          </w:p>
        </w:tc>
      </w:tr>
      <w:tr w14:paraId="4EE2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9DC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B7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接地母线</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F3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50*5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D7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D2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98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14.17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9C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5668.00 </w:t>
            </w:r>
          </w:p>
        </w:tc>
      </w:tr>
      <w:tr w14:paraId="4895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46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98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角钢接地极</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CD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50*50*5 L=2500mm</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153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EC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253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74.83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CA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299.32 </w:t>
            </w:r>
          </w:p>
        </w:tc>
      </w:tr>
      <w:tr w14:paraId="04E0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DB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低压电力电缆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2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YTTW-4*25+1*16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50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DB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E2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BE3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30900.00 </w:t>
            </w:r>
          </w:p>
        </w:tc>
      </w:tr>
      <w:tr w14:paraId="78F9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ED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F5F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低压电力电缆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9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WDZ-YJY-2*6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744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67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6DF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5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555.00 </w:t>
            </w:r>
          </w:p>
        </w:tc>
      </w:tr>
      <w:tr w14:paraId="6B12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B1F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94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7F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WDZN-BYJ-2.5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57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7B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809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1516.00 </w:t>
            </w:r>
          </w:p>
        </w:tc>
      </w:tr>
      <w:tr w14:paraId="2660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C8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C2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A06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WDZ-BYJ-2.5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8E8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D21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B5F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072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361.00 </w:t>
            </w:r>
          </w:p>
        </w:tc>
      </w:tr>
      <w:tr w14:paraId="46D6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B3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E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电线</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C0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WDZ-BYJ-4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B9B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43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DA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688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3487.50 </w:t>
            </w:r>
          </w:p>
        </w:tc>
      </w:tr>
      <w:tr w14:paraId="494E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40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FF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双管日光灯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B20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2*32W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49B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830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9ED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69.67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FC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557.36 </w:t>
            </w:r>
          </w:p>
        </w:tc>
      </w:tr>
      <w:tr w14:paraId="7522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35A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4C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单管日光灯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2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1*32W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F49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178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806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18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586.63 </w:t>
            </w:r>
          </w:p>
        </w:tc>
      </w:tr>
      <w:tr w14:paraId="27A2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36A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7F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备用灯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FE3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7192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3E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6338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2DC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936.00 </w:t>
            </w:r>
          </w:p>
        </w:tc>
      </w:tr>
      <w:tr w14:paraId="141E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FA0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1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开关</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4C7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单联双控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56CA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B36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4C4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14.57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02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58.28 </w:t>
            </w:r>
          </w:p>
        </w:tc>
      </w:tr>
      <w:tr w14:paraId="56E5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5C6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17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插座</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20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单相三孔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F3D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28D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CFE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15.83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9E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79.15 </w:t>
            </w:r>
          </w:p>
        </w:tc>
      </w:tr>
      <w:tr w14:paraId="0F4A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6F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60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插座</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BF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单相五孔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BE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C2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12B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13.67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58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177.71 </w:t>
            </w:r>
          </w:p>
        </w:tc>
      </w:tr>
      <w:tr w14:paraId="7B1E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D3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D2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地坪漆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16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防静电地坪漆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BA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700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263.5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1C9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82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15546.50 </w:t>
            </w:r>
          </w:p>
        </w:tc>
      </w:tr>
      <w:tr w14:paraId="3C5B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D31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72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户内冷缩</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电缆终端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AF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3*120，含镀锡铜鼻子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613C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002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EB73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566.00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F0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2264.00 </w:t>
            </w:r>
          </w:p>
        </w:tc>
      </w:tr>
      <w:tr w14:paraId="3356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161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6AD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户内冷缩</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电缆终端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1F9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3*70，含镀锡铜鼻子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6D3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A4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DE5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534.33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07F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2137.32 </w:t>
            </w:r>
          </w:p>
        </w:tc>
      </w:tr>
      <w:tr w14:paraId="6874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E3A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C1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单灯控制器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91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品牌：爱克莱特 </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型号：EXC-TL1-C110E-II CAT.1通讯单灯控制器</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(标准版)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E2BF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06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E42A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196.83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102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10431.99 </w:t>
            </w:r>
          </w:p>
        </w:tc>
      </w:tr>
      <w:tr w14:paraId="13C5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A0C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A9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拇指套</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9F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1.2终端</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（单芯70-120）</w:t>
            </w: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60EE91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05D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7645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DA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1314.00 </w:t>
            </w:r>
          </w:p>
        </w:tc>
      </w:tr>
      <w:tr w14:paraId="48DC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8E6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06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铜接管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0DD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GT-50平方</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14:paraId="2ABC7FC5">
            <w:pPr>
              <w:keepNext w:val="0"/>
              <w:keepLines w:val="0"/>
              <w:widowControl/>
              <w:suppressLineNumbers w:val="0"/>
              <w:jc w:val="center"/>
              <w:textAlignment w:val="center"/>
              <w:rPr>
                <w:rFonts w:hint="eastAsia" w:ascii="仿宋" w:hAnsi="仿宋" w:eastAsia="仿宋" w:cs="仿宋"/>
                <w:i w:val="0"/>
                <w:iCs w:val="0"/>
                <w:color w:val="000000"/>
                <w:kern w:val="2"/>
                <w:sz w:val="20"/>
                <w:szCs w:val="20"/>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BAC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0788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5D3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1488.00 </w:t>
            </w:r>
          </w:p>
        </w:tc>
      </w:tr>
      <w:tr w14:paraId="2FDD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97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602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304不锈钢扎带</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F8D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12.5*600*0.6，全眼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A8E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B1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32D6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097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765.00 </w:t>
            </w:r>
          </w:p>
        </w:tc>
      </w:tr>
      <w:tr w14:paraId="204B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C1A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4BC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304不锈钢扎带</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2BEC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12.5*800*0.6，全眼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4BD2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3D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9091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5.67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B9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850.50 </w:t>
            </w:r>
          </w:p>
        </w:tc>
      </w:tr>
      <w:tr w14:paraId="6316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24A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54CA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304不锈钢扎带</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138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12.5*1000*0.6，全眼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945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BC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FCBE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6.10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E3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915.00 </w:t>
            </w:r>
          </w:p>
        </w:tc>
      </w:tr>
      <w:tr w14:paraId="7896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2E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2C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红幔布</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2C9E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0.3m*0.7m；</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运行设备字样；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四脚带磁铁</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144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899E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19BF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A5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84.00 </w:t>
            </w:r>
          </w:p>
        </w:tc>
      </w:tr>
      <w:tr w14:paraId="09B5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FA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1E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红幔布</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8FA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0.45m*1.5m；</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运行设备字样；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四脚带磁铁</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F13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2207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C99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30.67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2D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245.36 </w:t>
            </w:r>
          </w:p>
        </w:tc>
      </w:tr>
      <w:tr w14:paraId="1389A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72D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72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锌合金美工刀</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053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18mm重型（前田牌）</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477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把</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7DF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1BC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B57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215.00 </w:t>
            </w:r>
          </w:p>
        </w:tc>
      </w:tr>
      <w:tr w14:paraId="0529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432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C24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镀锌平垫</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8A1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内径24mm，外径60mm，厚度2mm</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D7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06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54E7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0.88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C37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352.00 </w:t>
            </w:r>
          </w:p>
        </w:tc>
      </w:tr>
      <w:tr w14:paraId="37C9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5D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60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镀锌平垫</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70A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内径30mm，外径70mm，厚度4mm</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EA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5C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B701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5A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113.00 </w:t>
            </w:r>
          </w:p>
        </w:tc>
      </w:tr>
      <w:tr w14:paraId="08F3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C2B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426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冷缩电缆中间接</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573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4AB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6B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7D13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1576.67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DA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3153.34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F991">
            <w:pPr>
              <w:jc w:val="center"/>
              <w:rPr>
                <w:rFonts w:hint="eastAsia" w:ascii="仿宋" w:hAnsi="仿宋" w:eastAsia="仿宋" w:cs="仿宋"/>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rPr>
                <w:rFonts w:hint="eastAsia" w:ascii="仿宋" w:hAnsi="仿宋" w:eastAsia="仿宋" w:cs="仿宋"/>
                <w:i w:val="0"/>
                <w:iCs w:val="0"/>
                <w:color w:val="000000"/>
                <w:sz w:val="20"/>
                <w:szCs w:val="20"/>
                <w:highlight w:val="none"/>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rPr>
                <w:rFonts w:hint="eastAsia" w:ascii="仿宋" w:hAnsi="仿宋" w:eastAsia="仿宋" w:cs="仿宋"/>
                <w:i w:val="0"/>
                <w:iCs w:val="0"/>
                <w:color w:val="000000"/>
                <w:sz w:val="20"/>
                <w:szCs w:val="20"/>
                <w:highlight w:val="none"/>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jc w:val="center"/>
              <w:rPr>
                <w:rFonts w:hint="eastAsia" w:ascii="仿宋" w:hAnsi="仿宋" w:eastAsia="仿宋" w:cs="仿宋"/>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85396.30 </w:t>
            </w:r>
          </w:p>
        </w:tc>
      </w:tr>
    </w:tbl>
    <w:p w14:paraId="3C04A45F">
      <w:pPr>
        <w:rPr>
          <w:rFonts w:hint="eastAsia" w:ascii="黑体" w:hAnsi="黑体" w:eastAsia="黑体" w:cs="黑体"/>
          <w:bCs/>
          <w:sz w:val="32"/>
          <w:szCs w:val="32"/>
          <w:highlight w:val="none"/>
        </w:rPr>
      </w:pPr>
    </w:p>
    <w:p w14:paraId="5C2361C2">
      <w:pPr>
        <w:rPr>
          <w:rFonts w:hint="eastAsia" w:ascii="黑体" w:hAnsi="黑体" w:eastAsia="黑体" w:cs="黑体"/>
          <w:bCs/>
          <w:sz w:val="32"/>
          <w:szCs w:val="32"/>
          <w:highlight w:val="none"/>
        </w:rPr>
      </w:pPr>
    </w:p>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152042580"/>
      <w:bookmarkStart w:id="29" w:name="_Toc247527831"/>
      <w:bookmarkStart w:id="30" w:name="_Toc247514283"/>
      <w:bookmarkStart w:id="31" w:name="_Toc144974860"/>
      <w:bookmarkStart w:id="32" w:name="_Toc300835213"/>
      <w:bookmarkStart w:id="33" w:name="_Toc152045791"/>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 w:val="24"/>
          <w:szCs w:val="24"/>
        </w:rPr>
      </w:pPr>
      <w:bookmarkStart w:id="34" w:name="_GoBack"/>
      <w:bookmarkEnd w:id="3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1F62A0A"/>
    <w:rsid w:val="028D62DC"/>
    <w:rsid w:val="02C46BBB"/>
    <w:rsid w:val="030B068E"/>
    <w:rsid w:val="045D6C62"/>
    <w:rsid w:val="04C70B93"/>
    <w:rsid w:val="04D05CEB"/>
    <w:rsid w:val="053022E6"/>
    <w:rsid w:val="053E2980"/>
    <w:rsid w:val="05BD43E2"/>
    <w:rsid w:val="05BF54E7"/>
    <w:rsid w:val="05E0766C"/>
    <w:rsid w:val="062A4F87"/>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10F40B89"/>
    <w:rsid w:val="1107234B"/>
    <w:rsid w:val="11072A94"/>
    <w:rsid w:val="11C91AF8"/>
    <w:rsid w:val="13AB30BA"/>
    <w:rsid w:val="13AF4D1D"/>
    <w:rsid w:val="13FC1FA7"/>
    <w:rsid w:val="14B27425"/>
    <w:rsid w:val="15451DDD"/>
    <w:rsid w:val="156D4658"/>
    <w:rsid w:val="15C71718"/>
    <w:rsid w:val="15C9100B"/>
    <w:rsid w:val="163836F0"/>
    <w:rsid w:val="17A16C02"/>
    <w:rsid w:val="18B33C1C"/>
    <w:rsid w:val="18FC0F9D"/>
    <w:rsid w:val="192B18BB"/>
    <w:rsid w:val="19F1668A"/>
    <w:rsid w:val="19F268D5"/>
    <w:rsid w:val="1B1C3EA3"/>
    <w:rsid w:val="1B703EAA"/>
    <w:rsid w:val="1D5D189B"/>
    <w:rsid w:val="1D7768AC"/>
    <w:rsid w:val="1DCD6AB3"/>
    <w:rsid w:val="1E917E41"/>
    <w:rsid w:val="1EE97D61"/>
    <w:rsid w:val="1F0841AB"/>
    <w:rsid w:val="1F131257"/>
    <w:rsid w:val="1FB40EB0"/>
    <w:rsid w:val="1FC63FAF"/>
    <w:rsid w:val="1FED67F2"/>
    <w:rsid w:val="1FFC12EA"/>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AB9711D"/>
    <w:rsid w:val="2AD510B6"/>
    <w:rsid w:val="2B2937A5"/>
    <w:rsid w:val="2BEB4914"/>
    <w:rsid w:val="2C6646BB"/>
    <w:rsid w:val="2CB53ED2"/>
    <w:rsid w:val="2D3622E0"/>
    <w:rsid w:val="2D3E2F42"/>
    <w:rsid w:val="2D426ED6"/>
    <w:rsid w:val="2D4D0F3A"/>
    <w:rsid w:val="2D9500FB"/>
    <w:rsid w:val="2DE75067"/>
    <w:rsid w:val="2DEF26D6"/>
    <w:rsid w:val="2E626A68"/>
    <w:rsid w:val="2E755089"/>
    <w:rsid w:val="2F77273B"/>
    <w:rsid w:val="3081704F"/>
    <w:rsid w:val="30853CD0"/>
    <w:rsid w:val="34F623C7"/>
    <w:rsid w:val="3566572C"/>
    <w:rsid w:val="357A4413"/>
    <w:rsid w:val="35D45FF4"/>
    <w:rsid w:val="35FA38AD"/>
    <w:rsid w:val="367810B3"/>
    <w:rsid w:val="36891BEE"/>
    <w:rsid w:val="37296A11"/>
    <w:rsid w:val="374970B3"/>
    <w:rsid w:val="376B0DD8"/>
    <w:rsid w:val="376E70A4"/>
    <w:rsid w:val="37C91FA2"/>
    <w:rsid w:val="37DD3D06"/>
    <w:rsid w:val="37E94405"/>
    <w:rsid w:val="39254400"/>
    <w:rsid w:val="396E1053"/>
    <w:rsid w:val="398B4D6E"/>
    <w:rsid w:val="39FD5C6A"/>
    <w:rsid w:val="3A714E4B"/>
    <w:rsid w:val="3AAF547F"/>
    <w:rsid w:val="3B24224C"/>
    <w:rsid w:val="3B466628"/>
    <w:rsid w:val="3BED4C77"/>
    <w:rsid w:val="3C012364"/>
    <w:rsid w:val="3C157564"/>
    <w:rsid w:val="3C550862"/>
    <w:rsid w:val="3C664B65"/>
    <w:rsid w:val="3C836F67"/>
    <w:rsid w:val="3CCA5C18"/>
    <w:rsid w:val="3D460945"/>
    <w:rsid w:val="3F762A0F"/>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73531B0"/>
    <w:rsid w:val="48A80A9B"/>
    <w:rsid w:val="48E94F23"/>
    <w:rsid w:val="49C10D2B"/>
    <w:rsid w:val="49E669E4"/>
    <w:rsid w:val="49EE2015"/>
    <w:rsid w:val="4A712751"/>
    <w:rsid w:val="4B0E61F2"/>
    <w:rsid w:val="4BF56721"/>
    <w:rsid w:val="4C822C35"/>
    <w:rsid w:val="4C8F564E"/>
    <w:rsid w:val="4E112440"/>
    <w:rsid w:val="4E2D31EF"/>
    <w:rsid w:val="4E6E236A"/>
    <w:rsid w:val="4E985EB2"/>
    <w:rsid w:val="4F081F05"/>
    <w:rsid w:val="4F093B31"/>
    <w:rsid w:val="4F6E6091"/>
    <w:rsid w:val="4FC058C6"/>
    <w:rsid w:val="510C5E54"/>
    <w:rsid w:val="51575697"/>
    <w:rsid w:val="51907961"/>
    <w:rsid w:val="520A2AA3"/>
    <w:rsid w:val="52181704"/>
    <w:rsid w:val="52216A9B"/>
    <w:rsid w:val="52427E13"/>
    <w:rsid w:val="530C74BB"/>
    <w:rsid w:val="53726F63"/>
    <w:rsid w:val="53740BBC"/>
    <w:rsid w:val="53986FA1"/>
    <w:rsid w:val="54091C4C"/>
    <w:rsid w:val="542E10AC"/>
    <w:rsid w:val="547418E3"/>
    <w:rsid w:val="56334D5F"/>
    <w:rsid w:val="57925AB5"/>
    <w:rsid w:val="57E71486"/>
    <w:rsid w:val="587F428B"/>
    <w:rsid w:val="58B32C25"/>
    <w:rsid w:val="58ED1584"/>
    <w:rsid w:val="590B5B1F"/>
    <w:rsid w:val="5966493D"/>
    <w:rsid w:val="59943EF2"/>
    <w:rsid w:val="59C363FA"/>
    <w:rsid w:val="5A15047F"/>
    <w:rsid w:val="5A1C03AD"/>
    <w:rsid w:val="5ADE61AD"/>
    <w:rsid w:val="5B9A25B0"/>
    <w:rsid w:val="5C761E49"/>
    <w:rsid w:val="5C82428E"/>
    <w:rsid w:val="5D1368A6"/>
    <w:rsid w:val="5D1F5EEF"/>
    <w:rsid w:val="5E14191A"/>
    <w:rsid w:val="5E7D1E46"/>
    <w:rsid w:val="5EE343ED"/>
    <w:rsid w:val="5F251B4F"/>
    <w:rsid w:val="5FC059FC"/>
    <w:rsid w:val="6005776C"/>
    <w:rsid w:val="605204D7"/>
    <w:rsid w:val="60682CF1"/>
    <w:rsid w:val="60CD7D73"/>
    <w:rsid w:val="60E44589"/>
    <w:rsid w:val="614B680F"/>
    <w:rsid w:val="621B49AD"/>
    <w:rsid w:val="62524483"/>
    <w:rsid w:val="626D3C1F"/>
    <w:rsid w:val="62A74B7D"/>
    <w:rsid w:val="62EE098B"/>
    <w:rsid w:val="63B75221"/>
    <w:rsid w:val="64384C3A"/>
    <w:rsid w:val="64414AEB"/>
    <w:rsid w:val="64947310"/>
    <w:rsid w:val="66B772E6"/>
    <w:rsid w:val="66C467C4"/>
    <w:rsid w:val="67CD3663"/>
    <w:rsid w:val="6A87576B"/>
    <w:rsid w:val="6BCA7704"/>
    <w:rsid w:val="6BD478D0"/>
    <w:rsid w:val="6C2F5391"/>
    <w:rsid w:val="6C7E7B91"/>
    <w:rsid w:val="6CC762EC"/>
    <w:rsid w:val="6D922DEE"/>
    <w:rsid w:val="6D9E4D5C"/>
    <w:rsid w:val="6DBB5BE6"/>
    <w:rsid w:val="6FB94521"/>
    <w:rsid w:val="708F339A"/>
    <w:rsid w:val="71211F2C"/>
    <w:rsid w:val="713F0604"/>
    <w:rsid w:val="714F6A99"/>
    <w:rsid w:val="719E357C"/>
    <w:rsid w:val="723D7771"/>
    <w:rsid w:val="7322493E"/>
    <w:rsid w:val="73FA3EA6"/>
    <w:rsid w:val="75436DF8"/>
    <w:rsid w:val="75BF2A5C"/>
    <w:rsid w:val="75C0373B"/>
    <w:rsid w:val="75C97891"/>
    <w:rsid w:val="768A40CF"/>
    <w:rsid w:val="76D66DC3"/>
    <w:rsid w:val="77A81E12"/>
    <w:rsid w:val="77D42634"/>
    <w:rsid w:val="78232A2D"/>
    <w:rsid w:val="792452A3"/>
    <w:rsid w:val="794719E5"/>
    <w:rsid w:val="79725A1A"/>
    <w:rsid w:val="79D91539"/>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9</Pages>
  <Words>3936</Words>
  <Characters>4731</Characters>
  <Lines>99</Lines>
  <Paragraphs>28</Paragraphs>
  <TotalTime>0</TotalTime>
  <ScaleCrop>false</ScaleCrop>
  <LinksUpToDate>false</LinksUpToDate>
  <CharactersWithSpaces>5068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2025-12-29T00:31:00Z</cp:lastPrinted>
  <dcterms:modified xsi:type="dcterms:W3CDTF">2026-01-09T05:54:25Z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