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CF6D">
      <w:pPr>
        <w:spacing w:afterLines="100" w:line="360" w:lineRule="auto"/>
        <w:jc w:val="center"/>
        <w:outlineLvl w:val="1"/>
        <w:rPr>
          <w:rFonts w:ascii="仿宋" w:hAnsi="仿宋" w:eastAsia="仿宋"/>
          <w:b/>
          <w:sz w:val="28"/>
          <w:szCs w:val="28"/>
          <w:highlight w:val="none"/>
        </w:rPr>
      </w:pPr>
      <w:bookmarkStart w:id="0" w:name="_Toc23882"/>
      <w:r>
        <w:rPr>
          <w:rFonts w:hint="eastAsia" w:ascii="仿宋" w:hAnsi="仿宋" w:eastAsia="仿宋"/>
          <w:b/>
          <w:sz w:val="28"/>
          <w:szCs w:val="28"/>
          <w:highlight w:val="none"/>
        </w:rPr>
        <w:t xml:space="preserve">  </w:t>
      </w:r>
      <w:r>
        <w:rPr>
          <w:rFonts w:hint="eastAsia" w:ascii="仿宋" w:hAnsi="仿宋" w:eastAsia="仿宋"/>
          <w:b/>
          <w:sz w:val="28"/>
          <w:szCs w:val="28"/>
          <w:highlight w:val="none"/>
          <w:lang w:eastAsia="zh-CN"/>
        </w:rPr>
        <w:t>采购</w:t>
      </w:r>
      <w:r>
        <w:rPr>
          <w:rFonts w:hint="eastAsia" w:ascii="仿宋" w:hAnsi="仿宋" w:eastAsia="仿宋"/>
          <w:b/>
          <w:sz w:val="28"/>
          <w:szCs w:val="28"/>
          <w:highlight w:val="none"/>
        </w:rPr>
        <w:t>公告</w:t>
      </w:r>
      <w:bookmarkEnd w:id="0"/>
    </w:p>
    <w:p w14:paraId="428C4616">
      <w:pPr>
        <w:spacing w:line="560" w:lineRule="exact"/>
        <w:ind w:firstLine="480" w:firstLineChars="200"/>
        <w:rPr>
          <w:rFonts w:ascii="仿宋" w:hAnsi="仿宋" w:eastAsia="仿宋"/>
          <w:bCs/>
          <w:sz w:val="24"/>
          <w:szCs w:val="24"/>
          <w:highlight w:val="none"/>
        </w:rPr>
      </w:pPr>
      <w:r>
        <w:rPr>
          <w:rFonts w:hint="eastAsia" w:ascii="仿宋" w:hAnsi="仿宋" w:eastAsia="仿宋"/>
          <w:sz w:val="24"/>
          <w:szCs w:val="24"/>
          <w:highlight w:val="none"/>
        </w:rPr>
        <w:t>我公司现对青岛北岸储能产业园110kV变电站外线工程（电缆头、电缆试验）进行</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，欢迎符合条件的投标人参加，具体要求如下：</w:t>
      </w:r>
    </w:p>
    <w:p w14:paraId="2057A1A6">
      <w:pPr>
        <w:numPr>
          <w:ilvl w:val="0"/>
          <w:numId w:val="0"/>
        </w:numPr>
        <w:tabs>
          <w:tab w:val="left" w:pos="6379"/>
        </w:tabs>
        <w:spacing w:line="560" w:lineRule="exact"/>
        <w:ind w:firstLine="480" w:firstLineChars="200"/>
        <w:jc w:val="left"/>
        <w:rPr>
          <w:rFonts w:hint="eastAsia" w:ascii="仿宋" w:hAnsi="仿宋" w:eastAsia="仿宋"/>
          <w:sz w:val="24"/>
          <w:szCs w:val="24"/>
          <w:highlight w:val="none"/>
        </w:rPr>
      </w:pP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项目名称：青岛北岸储能产业园110kV变电站外线工程（电缆头、电缆试验）</w:t>
      </w:r>
    </w:p>
    <w:p w14:paraId="3F2A4EBE">
      <w:pPr>
        <w:numPr>
          <w:ilvl w:val="0"/>
          <w:numId w:val="0"/>
        </w:numPr>
        <w:tabs>
          <w:tab w:val="left" w:pos="6379"/>
        </w:tabs>
        <w:spacing w:line="560" w:lineRule="exact"/>
        <w:ind w:firstLine="480" w:firstLineChars="200"/>
        <w:jc w:val="left"/>
        <w:rPr>
          <w:rFonts w:hint="eastAsia" w:ascii="仿宋" w:hAnsi="仿宋" w:eastAsia="仿宋"/>
          <w:sz w:val="24"/>
          <w:szCs w:val="24"/>
          <w:highlight w:val="none"/>
        </w:rPr>
      </w:pPr>
      <w:r>
        <w:rPr>
          <w:rFonts w:hint="eastAsia" w:ascii="仿宋" w:hAnsi="仿宋" w:eastAsia="仿宋"/>
          <w:sz w:val="24"/>
          <w:szCs w:val="24"/>
          <w:highlight w:val="none"/>
        </w:rPr>
        <w:t>2.项目地点：青岛</w:t>
      </w:r>
      <w:r>
        <w:rPr>
          <w:rFonts w:hint="eastAsia" w:ascii="仿宋" w:hAnsi="仿宋" w:eastAsia="仿宋"/>
          <w:sz w:val="24"/>
          <w:szCs w:val="24"/>
          <w:highlight w:val="none"/>
          <w:lang w:eastAsia="zh-CN"/>
        </w:rPr>
        <w:t>市</w:t>
      </w:r>
      <w:r>
        <w:rPr>
          <w:rFonts w:hint="eastAsia" w:ascii="仿宋" w:hAnsi="仿宋" w:eastAsia="仿宋"/>
          <w:sz w:val="24"/>
          <w:szCs w:val="24"/>
          <w:highlight w:val="none"/>
        </w:rPr>
        <w:t>。</w:t>
      </w:r>
    </w:p>
    <w:p w14:paraId="50174065">
      <w:pPr>
        <w:numPr>
          <w:ilvl w:val="0"/>
          <w:numId w:val="0"/>
        </w:numPr>
        <w:tabs>
          <w:tab w:val="left" w:pos="6379"/>
        </w:tabs>
        <w:spacing w:line="560" w:lineRule="exact"/>
        <w:ind w:firstLine="480" w:firstLineChars="200"/>
        <w:jc w:val="left"/>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3.服务内容：</w:t>
      </w:r>
      <w:r>
        <w:rPr>
          <w:rFonts w:hint="eastAsia" w:ascii="仿宋" w:hAnsi="仿宋" w:eastAsia="仿宋"/>
          <w:sz w:val="24"/>
          <w:szCs w:val="24"/>
          <w:highlight w:val="none"/>
        </w:rPr>
        <w:t>电缆头、电缆试验（详见工程量清单）</w:t>
      </w:r>
      <w:r>
        <w:rPr>
          <w:rFonts w:hint="eastAsia" w:ascii="仿宋" w:hAnsi="仿宋" w:eastAsia="仿宋"/>
          <w:sz w:val="24"/>
          <w:szCs w:val="24"/>
          <w:highlight w:val="none"/>
          <w:lang w:val="en-US" w:eastAsia="zh-CN"/>
        </w:rPr>
        <w:t>。</w:t>
      </w:r>
    </w:p>
    <w:p w14:paraId="3E640066">
      <w:pPr>
        <w:spacing w:line="560" w:lineRule="exact"/>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4.采购控制价：</w:t>
      </w:r>
      <w:r>
        <w:rPr>
          <w:rFonts w:hint="eastAsia" w:ascii="仿宋" w:hAnsi="仿宋" w:eastAsia="仿宋"/>
          <w:sz w:val="24"/>
          <w:szCs w:val="24"/>
          <w:highlight w:val="none"/>
        </w:rPr>
        <w:t>475131.38元（含税增值税税率9%），不含税价435900.35元</w:t>
      </w:r>
      <w:r>
        <w:rPr>
          <w:rFonts w:hint="eastAsia" w:ascii="仿宋" w:hAnsi="仿宋" w:eastAsia="仿宋"/>
          <w:sz w:val="24"/>
          <w:szCs w:val="24"/>
          <w:highlight w:val="none"/>
          <w:lang w:eastAsia="zh-CN"/>
        </w:rPr>
        <w:t>。</w:t>
      </w:r>
    </w:p>
    <w:p w14:paraId="46B4F99C">
      <w:pPr>
        <w:numPr>
          <w:ilvl w:val="0"/>
          <w:numId w:val="0"/>
        </w:numPr>
        <w:tabs>
          <w:tab w:val="left" w:pos="6379"/>
        </w:tabs>
        <w:spacing w:line="560" w:lineRule="exact"/>
        <w:ind w:firstLine="480" w:firstLineChars="200"/>
        <w:jc w:val="left"/>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5. 投标人资格要求</w:t>
      </w:r>
    </w:p>
    <w:p w14:paraId="22BFCB6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4"/>
          <w:szCs w:val="24"/>
          <w:highlight w:val="none"/>
        </w:rPr>
      </w:pPr>
      <w:r>
        <w:rPr>
          <w:rFonts w:hint="eastAsia" w:ascii="仿宋" w:hAnsi="仿宋" w:eastAsia="仿宋"/>
          <w:sz w:val="24"/>
          <w:szCs w:val="24"/>
          <w:highlight w:val="none"/>
        </w:rPr>
        <w:t xml:space="preserve">    5.1供应商必须具有独立法人资格,各供应商不得有企业关联或股权关系。</w:t>
      </w:r>
    </w:p>
    <w:p w14:paraId="48D36B3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5.2供应商须具有具有承装（修、试）电力设施许可证，承装、承试类二级及以上企业资质，并具有有效期内的安全生产许可证。</w:t>
      </w:r>
    </w:p>
    <w:p w14:paraId="7F26746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bCs/>
          <w:sz w:val="24"/>
          <w:szCs w:val="24"/>
          <w:highlight w:val="none"/>
        </w:rPr>
      </w:pPr>
      <w:r>
        <w:rPr>
          <w:rFonts w:hint="eastAsia" w:ascii="仿宋" w:hAnsi="仿宋" w:eastAsia="仿宋"/>
          <w:sz w:val="24"/>
          <w:szCs w:val="24"/>
          <w:highlight w:val="none"/>
        </w:rPr>
        <w:t xml:space="preserve">    5.3</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公告发布之日前三年内无行贿犯罪等重大违法记录。</w:t>
      </w:r>
      <w:r>
        <w:rPr>
          <w:rFonts w:ascii="仿宋" w:hAnsi="仿宋" w:eastAsia="仿宋"/>
          <w:sz w:val="24"/>
          <w:szCs w:val="24"/>
          <w:highlight w:val="none"/>
        </w:rPr>
        <w:br w:type="textWrapping"/>
      </w:r>
      <w:bookmarkStart w:id="1" w:name="_Toc521332562"/>
      <w:r>
        <w:rPr>
          <w:rFonts w:hint="eastAsia" w:ascii="仿宋" w:hAnsi="仿宋" w:eastAsia="仿宋"/>
          <w:sz w:val="24"/>
          <w:szCs w:val="24"/>
          <w:highlight w:val="none"/>
        </w:rPr>
        <w:t xml:space="preserve">    5.4通过“信用中国”网</w:t>
      </w:r>
      <w:r>
        <w:rPr>
          <w:rFonts w:hint="eastAsia" w:ascii="仿宋" w:hAnsi="仿宋" w:eastAsia="仿宋" w:cs="宋体"/>
          <w:bCs/>
          <w:sz w:val="24"/>
          <w:szCs w:val="24"/>
          <w:highlight w:val="none"/>
        </w:rPr>
        <w:t>站（www.creditchina.gov.cn）、中国政府采购网（www.ccgp.gov.cn）查询，中国裁判文书网（http://wenshu.court.gov.cn)分别查询，投标人、法定代表人（机构负责人）无行贿犯罪记录查询网页截图，未被列入失信被执行人、重大税收违法案件当事人、政府采购严重违法失信行为记录名单。</w:t>
      </w:r>
    </w:p>
    <w:bookmarkEnd w:id="1"/>
    <w:p w14:paraId="566ED48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6.资格预审及</w:t>
      </w:r>
      <w:r>
        <w:rPr>
          <w:rFonts w:hint="eastAsia" w:ascii="仿宋" w:hAnsi="仿宋" w:eastAsia="仿宋"/>
          <w:szCs w:val="24"/>
          <w:highlight w:val="none"/>
          <w:lang w:eastAsia="zh-CN"/>
        </w:rPr>
        <w:t>采购</w:t>
      </w:r>
      <w:r>
        <w:rPr>
          <w:rFonts w:hint="eastAsia" w:ascii="仿宋" w:hAnsi="仿宋" w:eastAsia="仿宋"/>
          <w:szCs w:val="24"/>
          <w:highlight w:val="none"/>
        </w:rPr>
        <w:t>文件的获取</w:t>
      </w:r>
    </w:p>
    <w:p w14:paraId="2C84D67E">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6.1截止时间：202</w:t>
      </w:r>
      <w:r>
        <w:rPr>
          <w:rFonts w:hint="eastAsia" w:ascii="仿宋" w:hAnsi="仿宋" w:eastAsia="仿宋"/>
          <w:szCs w:val="24"/>
          <w:highlight w:val="none"/>
          <w:lang w:val="en-US" w:eastAsia="zh-CN"/>
        </w:rPr>
        <w:t>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23</w:t>
      </w:r>
      <w:r>
        <w:rPr>
          <w:rFonts w:hint="eastAsia" w:ascii="仿宋" w:hAnsi="仿宋" w:eastAsia="仿宋"/>
          <w:szCs w:val="24"/>
          <w:highlight w:val="none"/>
        </w:rPr>
        <w:t>日</w:t>
      </w:r>
      <w:r>
        <w:rPr>
          <w:rFonts w:hint="eastAsia" w:ascii="仿宋" w:hAnsi="仿宋" w:eastAsia="仿宋"/>
          <w:szCs w:val="24"/>
          <w:highlight w:val="none"/>
          <w:lang w:val="en-US" w:eastAsia="zh-CN"/>
        </w:rPr>
        <w:t>12</w:t>
      </w:r>
      <w:r>
        <w:rPr>
          <w:rFonts w:hint="eastAsia" w:ascii="仿宋" w:hAnsi="仿宋" w:eastAsia="仿宋"/>
          <w:szCs w:val="24"/>
          <w:highlight w:val="none"/>
        </w:rPr>
        <w:t>时00分。</w:t>
      </w:r>
    </w:p>
    <w:p w14:paraId="3DF8826F">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6.2预审方式：投标人将资格审查所需材料生成一个</w:t>
      </w:r>
      <w:r>
        <w:rPr>
          <w:rFonts w:hint="eastAsia" w:ascii="仿宋" w:hAnsi="仿宋" w:eastAsia="仿宋"/>
          <w:b/>
          <w:bCs/>
          <w:szCs w:val="24"/>
          <w:highlight w:val="none"/>
        </w:rPr>
        <w:t>PDF</w:t>
      </w:r>
      <w:r>
        <w:rPr>
          <w:rFonts w:hint="eastAsia" w:ascii="仿宋" w:hAnsi="仿宋" w:eastAsia="仿宋"/>
          <w:szCs w:val="24"/>
          <w:highlight w:val="none"/>
        </w:rPr>
        <w:t>文档，在截止时间前发送至邮箱：gaoxinshuidian@163.com。邮件标题为</w:t>
      </w:r>
      <w:r>
        <w:rPr>
          <w:rFonts w:hint="eastAsia" w:ascii="仿宋" w:hAnsi="仿宋" w:eastAsia="仿宋"/>
          <w:b/>
          <w:bCs/>
          <w:szCs w:val="24"/>
          <w:highlight w:val="none"/>
        </w:rPr>
        <w:t>供应商名称+项目名称</w:t>
      </w:r>
      <w:r>
        <w:rPr>
          <w:rFonts w:hint="eastAsia" w:ascii="仿宋" w:hAnsi="仿宋" w:eastAsia="仿宋"/>
          <w:szCs w:val="24"/>
          <w:highlight w:val="none"/>
        </w:rPr>
        <w:t>，正文备注</w:t>
      </w:r>
      <w:r>
        <w:rPr>
          <w:rFonts w:hint="eastAsia" w:ascii="仿宋" w:hAnsi="仿宋" w:eastAsia="仿宋"/>
          <w:b/>
          <w:bCs/>
          <w:szCs w:val="24"/>
          <w:highlight w:val="none"/>
        </w:rPr>
        <w:t>联系人、联系方式、</w:t>
      </w:r>
      <w:r>
        <w:rPr>
          <w:rFonts w:hint="eastAsia" w:ascii="仿宋" w:hAnsi="仿宋" w:eastAsia="仿宋"/>
          <w:b/>
          <w:bCs/>
          <w:szCs w:val="24"/>
          <w:highlight w:val="none"/>
          <w:lang w:eastAsia="zh-CN"/>
        </w:rPr>
        <w:t>采购</w:t>
      </w:r>
      <w:r>
        <w:rPr>
          <w:rFonts w:hint="eastAsia" w:ascii="仿宋" w:hAnsi="仿宋" w:eastAsia="仿宋"/>
          <w:b/>
          <w:bCs/>
          <w:szCs w:val="24"/>
          <w:highlight w:val="none"/>
        </w:rPr>
        <w:t>文件接收邮箱地址</w:t>
      </w:r>
      <w:r>
        <w:rPr>
          <w:rFonts w:hint="eastAsia" w:ascii="仿宋" w:hAnsi="仿宋" w:eastAsia="仿宋"/>
          <w:szCs w:val="24"/>
          <w:highlight w:val="none"/>
        </w:rPr>
        <w:t>。</w:t>
      </w:r>
      <w:r>
        <w:rPr>
          <w:rStyle w:val="47"/>
          <w:rFonts w:hint="eastAsia" w:ascii="仿宋" w:hAnsi="仿宋" w:eastAsia="仿宋" w:cs="仿宋"/>
          <w:sz w:val="24"/>
          <w:szCs w:val="24"/>
          <w:highlight w:val="none"/>
        </w:rPr>
        <w:t>由</w:t>
      </w:r>
      <w:r>
        <w:rPr>
          <w:rStyle w:val="47"/>
          <w:rFonts w:hint="eastAsia" w:ascii="仿宋" w:hAnsi="仿宋" w:eastAsia="仿宋" w:cs="仿宋"/>
          <w:sz w:val="24"/>
          <w:szCs w:val="24"/>
          <w:highlight w:val="none"/>
          <w:lang w:eastAsia="zh-CN"/>
        </w:rPr>
        <w:t>采购</w:t>
      </w:r>
      <w:r>
        <w:rPr>
          <w:rStyle w:val="47"/>
          <w:rFonts w:hint="eastAsia" w:ascii="仿宋" w:hAnsi="仿宋" w:eastAsia="仿宋" w:cs="仿宋"/>
          <w:sz w:val="24"/>
          <w:szCs w:val="24"/>
          <w:highlight w:val="none"/>
        </w:rPr>
        <w:t>单位受理</w:t>
      </w:r>
      <w:r>
        <w:rPr>
          <w:rStyle w:val="47"/>
          <w:rFonts w:hint="eastAsia" w:ascii="仿宋" w:hAnsi="仿宋" w:eastAsia="仿宋" w:cs="仿宋"/>
          <w:sz w:val="24"/>
          <w:szCs w:val="24"/>
          <w:highlight w:val="none"/>
          <w:lang w:eastAsia="zh-CN"/>
        </w:rPr>
        <w:t>审查通过</w:t>
      </w:r>
      <w:r>
        <w:rPr>
          <w:rStyle w:val="47"/>
          <w:rFonts w:hint="eastAsia" w:ascii="仿宋" w:hAnsi="仿宋" w:eastAsia="仿宋" w:cs="仿宋"/>
          <w:sz w:val="24"/>
          <w:szCs w:val="24"/>
          <w:highlight w:val="none"/>
        </w:rPr>
        <w:t>后，通过邮箱向投标人发放</w:t>
      </w:r>
      <w:r>
        <w:rPr>
          <w:rStyle w:val="47"/>
          <w:rFonts w:hint="eastAsia" w:ascii="仿宋" w:hAnsi="仿宋" w:eastAsia="仿宋" w:cs="仿宋"/>
          <w:sz w:val="24"/>
          <w:szCs w:val="24"/>
          <w:highlight w:val="none"/>
          <w:lang w:eastAsia="zh-CN"/>
        </w:rPr>
        <w:t>采购</w:t>
      </w:r>
      <w:r>
        <w:rPr>
          <w:rStyle w:val="47"/>
          <w:rFonts w:hint="eastAsia" w:ascii="仿宋" w:hAnsi="仿宋" w:eastAsia="仿宋" w:cs="仿宋"/>
          <w:sz w:val="24"/>
          <w:szCs w:val="24"/>
          <w:highlight w:val="none"/>
        </w:rPr>
        <w:t>文件。</w:t>
      </w:r>
    </w:p>
    <w:p w14:paraId="2E315931">
      <w:pPr>
        <w:pStyle w:val="16"/>
        <w:spacing w:line="560" w:lineRule="exact"/>
        <w:ind w:firstLine="480" w:firstLineChars="200"/>
        <w:rPr>
          <w:rFonts w:hint="eastAsia" w:ascii="仿宋" w:hAnsi="仿宋" w:eastAsia="仿宋"/>
          <w:sz w:val="24"/>
          <w:szCs w:val="24"/>
          <w:highlight w:val="none"/>
        </w:rPr>
      </w:pPr>
      <w:r>
        <w:rPr>
          <w:rFonts w:hint="eastAsia" w:ascii="仿宋" w:hAnsi="仿宋" w:eastAsia="仿宋"/>
          <w:szCs w:val="24"/>
          <w:highlight w:val="none"/>
        </w:rPr>
        <w:t>6.3资格审查材料：营业执照复印件</w:t>
      </w:r>
      <w:r>
        <w:rPr>
          <w:rFonts w:hint="eastAsia" w:ascii="仿宋" w:hAnsi="仿宋" w:eastAsia="仿宋"/>
          <w:sz w:val="24"/>
          <w:szCs w:val="24"/>
          <w:highlight w:val="none"/>
          <w:lang w:eastAsia="zh-CN"/>
        </w:rPr>
        <w:t>，</w:t>
      </w:r>
      <w:r>
        <w:rPr>
          <w:rFonts w:hint="eastAsia" w:ascii="仿宋" w:hAnsi="仿宋" w:eastAsia="仿宋"/>
          <w:szCs w:val="24"/>
          <w:highlight w:val="none"/>
        </w:rPr>
        <w:t>法定代表人身份证明，法定代表人授权委托书，</w:t>
      </w:r>
      <w:r>
        <w:rPr>
          <w:rFonts w:hint="eastAsia" w:ascii="仿宋" w:hAnsi="仿宋" w:eastAsia="仿宋"/>
          <w:sz w:val="24"/>
          <w:szCs w:val="24"/>
          <w:highlight w:val="none"/>
        </w:rPr>
        <w:t>企业相关资质（承装（修、试）电力设施许可证，承装、承试类二级及以上企业资质）</w:t>
      </w:r>
      <w:r>
        <w:rPr>
          <w:rFonts w:hint="eastAsia" w:ascii="仿宋" w:hAnsi="仿宋" w:eastAsia="仿宋"/>
          <w:sz w:val="24"/>
          <w:szCs w:val="24"/>
          <w:highlight w:val="none"/>
          <w:lang w:eastAsia="zh-CN"/>
        </w:rPr>
        <w:t>、</w:t>
      </w:r>
      <w:r>
        <w:rPr>
          <w:rFonts w:hint="eastAsia" w:ascii="仿宋" w:hAnsi="仿宋" w:eastAsia="仿宋"/>
          <w:sz w:val="24"/>
          <w:szCs w:val="24"/>
          <w:highlight w:val="none"/>
        </w:rPr>
        <w:t>有效期内的安全生产许可证</w:t>
      </w:r>
      <w:r>
        <w:rPr>
          <w:rFonts w:hint="eastAsia" w:ascii="仿宋" w:hAnsi="仿宋" w:eastAsia="仿宋"/>
          <w:sz w:val="24"/>
          <w:szCs w:val="24"/>
          <w:highlight w:val="none"/>
          <w:lang w:eastAsia="zh-CN"/>
        </w:rPr>
        <w:t>、</w:t>
      </w:r>
      <w:r>
        <w:rPr>
          <w:rFonts w:hint="eastAsia" w:ascii="仿宋" w:hAnsi="仿宋" w:eastAsia="仿宋"/>
          <w:sz w:val="24"/>
          <w:szCs w:val="24"/>
          <w:highlight w:val="none"/>
        </w:rPr>
        <w:t>在经营活动中无重大违法记录和行贿犯罪记录的承诺</w:t>
      </w:r>
      <w:r>
        <w:rPr>
          <w:rFonts w:hint="eastAsia" w:ascii="仿宋" w:hAnsi="仿宋" w:eastAsia="仿宋"/>
          <w:sz w:val="24"/>
          <w:szCs w:val="24"/>
          <w:highlight w:val="none"/>
          <w:lang w:eastAsia="zh-CN"/>
        </w:rPr>
        <w:t>；</w:t>
      </w:r>
      <w:r>
        <w:rPr>
          <w:rFonts w:hint="eastAsia" w:ascii="仿宋" w:hAnsi="仿宋" w:eastAsia="仿宋"/>
          <w:sz w:val="24"/>
          <w:szCs w:val="24"/>
          <w:highlight w:val="none"/>
        </w:rPr>
        <w:t>中国裁判文书网（http://wenshu.court.gov.cn)分别查询供应商、法定代表人无行贿犯罪记录查询网页截图；“信用中国”网站查询供应商未被列入失信被执行人、重大税收违法案件当事人查询网页截图</w:t>
      </w:r>
      <w:r>
        <w:rPr>
          <w:rFonts w:hint="eastAsia" w:ascii="仿宋" w:hAnsi="仿宋" w:eastAsia="仿宋"/>
          <w:sz w:val="24"/>
          <w:szCs w:val="24"/>
          <w:highlight w:val="none"/>
          <w:lang w:eastAsia="zh-CN"/>
        </w:rPr>
        <w:t>；</w:t>
      </w:r>
      <w:r>
        <w:rPr>
          <w:rFonts w:hint="eastAsia" w:ascii="仿宋" w:hAnsi="仿宋" w:eastAsia="仿宋"/>
          <w:sz w:val="24"/>
          <w:szCs w:val="24"/>
          <w:highlight w:val="none"/>
        </w:rPr>
        <w:t>中国政府采购网查询政府采购严重违法失信行为记录名单网页截图等材料</w:t>
      </w:r>
      <w:r>
        <w:rPr>
          <w:rFonts w:hint="eastAsia" w:ascii="仿宋" w:hAnsi="仿宋" w:eastAsia="仿宋"/>
          <w:sz w:val="24"/>
          <w:szCs w:val="24"/>
          <w:highlight w:val="none"/>
          <w:lang w:val="en-US" w:eastAsia="zh-CN"/>
        </w:rPr>
        <w:t>(截图均需带有查询日期）</w:t>
      </w:r>
      <w:r>
        <w:rPr>
          <w:rFonts w:hint="eastAsia" w:ascii="仿宋" w:hAnsi="仿宋" w:eastAsia="仿宋"/>
          <w:sz w:val="24"/>
          <w:szCs w:val="24"/>
          <w:highlight w:val="none"/>
        </w:rPr>
        <w:t>，以上材料均需加盖供应商公章。</w:t>
      </w:r>
    </w:p>
    <w:p w14:paraId="26656A01">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w:t>
      </w:r>
      <w:r>
        <w:rPr>
          <w:rFonts w:hint="eastAsia" w:ascii="仿宋" w:hAnsi="仿宋" w:eastAsia="仿宋"/>
          <w:szCs w:val="24"/>
          <w:highlight w:val="none"/>
          <w:lang w:eastAsia="zh-CN"/>
        </w:rPr>
        <w:t>响应文件</w:t>
      </w:r>
      <w:r>
        <w:rPr>
          <w:rFonts w:hint="eastAsia" w:ascii="仿宋" w:hAnsi="仿宋" w:eastAsia="仿宋"/>
          <w:szCs w:val="24"/>
          <w:highlight w:val="none"/>
        </w:rPr>
        <w:t>递交时间以及地点</w:t>
      </w:r>
    </w:p>
    <w:p w14:paraId="0F0EDD7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7.1时间：202</w:t>
      </w:r>
      <w:r>
        <w:rPr>
          <w:rFonts w:hint="eastAsia" w:ascii="仿宋" w:hAnsi="仿宋" w:eastAsia="仿宋"/>
          <w:szCs w:val="24"/>
          <w:highlight w:val="none"/>
          <w:lang w:val="en-US" w:eastAsia="zh-CN"/>
        </w:rPr>
        <w:t>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30</w:t>
      </w:r>
      <w:r>
        <w:rPr>
          <w:rFonts w:hint="eastAsia" w:ascii="仿宋" w:hAnsi="仿宋" w:eastAsia="仿宋"/>
          <w:szCs w:val="24"/>
          <w:highlight w:val="none"/>
        </w:rPr>
        <w:t>日9时00分至9时30分。</w:t>
      </w:r>
    </w:p>
    <w:p w14:paraId="189D2FA9">
      <w:pPr>
        <w:pStyle w:val="16"/>
        <w:spacing w:line="560" w:lineRule="exact"/>
        <w:ind w:firstLine="480" w:firstLineChars="200"/>
        <w:rPr>
          <w:rFonts w:ascii="仿宋" w:hAnsi="仿宋" w:eastAsia="仿宋"/>
          <w:szCs w:val="24"/>
          <w:highlight w:val="none"/>
        </w:rPr>
      </w:pPr>
      <w:r>
        <w:rPr>
          <w:rFonts w:hint="eastAsia" w:ascii="仿宋" w:hAnsi="仿宋" w:eastAsia="仿宋"/>
          <w:szCs w:val="24"/>
          <w:highlight w:val="none"/>
        </w:rPr>
        <w:t>7.2地点：青岛市高新区聚贤桥路50号高实集团</w:t>
      </w:r>
      <w:r>
        <w:rPr>
          <w:rFonts w:hint="eastAsia" w:ascii="仿宋" w:hAnsi="仿宋" w:eastAsia="仿宋"/>
          <w:szCs w:val="24"/>
          <w:highlight w:val="none"/>
          <w:lang w:val="en-US" w:eastAsia="zh-CN"/>
        </w:rPr>
        <w:t>8</w:t>
      </w:r>
      <w:r>
        <w:rPr>
          <w:rFonts w:hint="eastAsia" w:ascii="仿宋" w:hAnsi="仿宋" w:eastAsia="仿宋"/>
          <w:szCs w:val="24"/>
          <w:highlight w:val="none"/>
        </w:rPr>
        <w:t>楼</w:t>
      </w:r>
      <w:r>
        <w:rPr>
          <w:rFonts w:hint="eastAsia" w:ascii="仿宋" w:hAnsi="仿宋" w:eastAsia="仿宋"/>
          <w:szCs w:val="24"/>
          <w:highlight w:val="none"/>
          <w:lang w:val="en-US" w:eastAsia="zh-CN"/>
        </w:rPr>
        <w:t>801</w:t>
      </w:r>
      <w:r>
        <w:rPr>
          <w:rFonts w:hint="eastAsia" w:ascii="仿宋" w:hAnsi="仿宋" w:eastAsia="仿宋"/>
          <w:szCs w:val="24"/>
          <w:highlight w:val="none"/>
        </w:rPr>
        <w:t>会议室。</w:t>
      </w:r>
    </w:p>
    <w:p w14:paraId="5666A18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8.开标时间以及地点</w:t>
      </w:r>
    </w:p>
    <w:p w14:paraId="2641A05F">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8.1时间：202</w:t>
      </w:r>
      <w:r>
        <w:rPr>
          <w:rFonts w:hint="eastAsia" w:ascii="仿宋" w:hAnsi="仿宋" w:eastAsia="仿宋"/>
          <w:szCs w:val="24"/>
          <w:highlight w:val="none"/>
          <w:lang w:val="en-US" w:eastAsia="zh-CN"/>
        </w:rPr>
        <w:t>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30</w:t>
      </w:r>
      <w:r>
        <w:rPr>
          <w:rFonts w:hint="eastAsia" w:ascii="仿宋" w:hAnsi="仿宋" w:eastAsia="仿宋"/>
          <w:szCs w:val="24"/>
          <w:highlight w:val="none"/>
        </w:rPr>
        <w:t>日9时30分。</w:t>
      </w:r>
    </w:p>
    <w:p w14:paraId="12D23F2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8.2地点：青岛市高新区聚贤桥路50号高实集团</w:t>
      </w:r>
      <w:r>
        <w:rPr>
          <w:rFonts w:hint="eastAsia" w:ascii="仿宋" w:hAnsi="仿宋" w:eastAsia="仿宋"/>
          <w:szCs w:val="24"/>
          <w:highlight w:val="none"/>
          <w:lang w:val="en-US" w:eastAsia="zh-CN"/>
        </w:rPr>
        <w:t>8</w:t>
      </w:r>
      <w:r>
        <w:rPr>
          <w:rFonts w:hint="eastAsia" w:ascii="仿宋" w:hAnsi="仿宋" w:eastAsia="仿宋"/>
          <w:szCs w:val="24"/>
          <w:highlight w:val="none"/>
        </w:rPr>
        <w:t>楼</w:t>
      </w:r>
      <w:r>
        <w:rPr>
          <w:rFonts w:hint="eastAsia" w:ascii="仿宋" w:hAnsi="仿宋" w:eastAsia="仿宋"/>
          <w:szCs w:val="24"/>
          <w:highlight w:val="none"/>
          <w:lang w:val="en-US" w:eastAsia="zh-CN"/>
        </w:rPr>
        <w:t>801</w:t>
      </w:r>
      <w:r>
        <w:rPr>
          <w:rFonts w:hint="eastAsia" w:ascii="仿宋" w:hAnsi="仿宋" w:eastAsia="仿宋"/>
          <w:szCs w:val="24"/>
          <w:highlight w:val="none"/>
        </w:rPr>
        <w:t>会议室。</w:t>
      </w:r>
    </w:p>
    <w:p w14:paraId="65DD211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9.联系方式</w:t>
      </w:r>
    </w:p>
    <w:p w14:paraId="66142894">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9.1</w:t>
      </w:r>
      <w:r>
        <w:rPr>
          <w:rFonts w:hint="eastAsia" w:ascii="仿宋" w:hAnsi="仿宋" w:eastAsia="仿宋"/>
          <w:szCs w:val="24"/>
          <w:highlight w:val="none"/>
          <w:lang w:eastAsia="zh-CN"/>
        </w:rPr>
        <w:t>采购</w:t>
      </w:r>
      <w:r>
        <w:rPr>
          <w:rFonts w:hint="eastAsia" w:ascii="仿宋" w:hAnsi="仿宋" w:eastAsia="仿宋"/>
          <w:szCs w:val="24"/>
          <w:highlight w:val="none"/>
        </w:rPr>
        <w:t>人：青岛高新电力发展有限公司</w:t>
      </w:r>
    </w:p>
    <w:p w14:paraId="4F9E407C">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联 系 人：纪虹延</w:t>
      </w:r>
    </w:p>
    <w:p w14:paraId="0A7A113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电    话：0532-68687097</w:t>
      </w:r>
    </w:p>
    <w:p w14:paraId="4A3FBA1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地    址：青岛市高新区聚贤桥路50号高实集团10楼。</w:t>
      </w:r>
    </w:p>
    <w:p w14:paraId="734A7644">
      <w:pPr>
        <w:pStyle w:val="16"/>
        <w:spacing w:line="560" w:lineRule="exact"/>
        <w:rPr>
          <w:rFonts w:ascii="仿宋" w:hAnsi="仿宋" w:eastAsia="仿宋"/>
          <w:szCs w:val="24"/>
          <w:highlight w:val="none"/>
        </w:rPr>
      </w:pPr>
    </w:p>
    <w:p w14:paraId="46777D34">
      <w:pPr>
        <w:pStyle w:val="16"/>
        <w:spacing w:line="560" w:lineRule="exact"/>
        <w:rPr>
          <w:rFonts w:ascii="仿宋" w:hAnsi="仿宋" w:eastAsia="仿宋"/>
          <w:color w:val="FF0000"/>
          <w:szCs w:val="24"/>
          <w:highlight w:val="none"/>
        </w:rPr>
      </w:pPr>
      <w:r>
        <w:rPr>
          <w:rFonts w:hint="eastAsia" w:ascii="仿宋" w:hAnsi="仿宋" w:eastAsia="仿宋"/>
          <w:szCs w:val="24"/>
          <w:highlight w:val="none"/>
        </w:rPr>
        <w:t xml:space="preserve">                                                    20</w:t>
      </w:r>
      <w:r>
        <w:rPr>
          <w:rFonts w:hint="eastAsia" w:ascii="仿宋" w:hAnsi="仿宋" w:eastAsia="仿宋"/>
          <w:szCs w:val="24"/>
          <w:highlight w:val="none"/>
          <w:lang w:val="en-US" w:eastAsia="zh-CN"/>
        </w:rPr>
        <w:t>26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21</w:t>
      </w:r>
      <w:r>
        <w:rPr>
          <w:rFonts w:hint="eastAsia" w:ascii="仿宋" w:hAnsi="仿宋" w:eastAsia="仿宋"/>
          <w:szCs w:val="24"/>
          <w:highlight w:val="none"/>
        </w:rPr>
        <w:t>日</w:t>
      </w:r>
    </w:p>
    <w:p w14:paraId="55B83D9E">
      <w:pPr>
        <w:keepNext w:val="0"/>
        <w:keepLines w:val="0"/>
        <w:pageBreakBefore w:val="0"/>
        <w:widowControl w:val="0"/>
        <w:kinsoku/>
        <w:wordWrap/>
        <w:overflowPunct/>
        <w:topLinePunct w:val="0"/>
        <w:autoSpaceDE/>
        <w:autoSpaceDN/>
        <w:bidi w:val="0"/>
        <w:adjustRightInd/>
        <w:snapToGrid/>
        <w:spacing w:afterLines="50" w:line="560" w:lineRule="exact"/>
        <w:jc w:val="center"/>
        <w:textAlignment w:val="auto"/>
        <w:outlineLvl w:val="1"/>
        <w:rPr>
          <w:rFonts w:ascii="仿宋" w:hAnsi="仿宋" w:eastAsia="仿宋"/>
          <w:b/>
          <w:sz w:val="28"/>
          <w:szCs w:val="28"/>
          <w:highlight w:val="none"/>
        </w:rPr>
      </w:pPr>
      <w:r>
        <w:rPr>
          <w:rFonts w:ascii="仿宋" w:hAnsi="仿宋" w:eastAsia="仿宋"/>
          <w:b/>
          <w:sz w:val="28"/>
          <w:szCs w:val="28"/>
          <w:highlight w:val="none"/>
        </w:rPr>
        <w:br w:type="page"/>
      </w:r>
      <w:bookmarkStart w:id="2" w:name="_Toc30753"/>
      <w:r>
        <w:rPr>
          <w:rFonts w:hint="eastAsia" w:ascii="仿宋" w:hAnsi="仿宋" w:eastAsia="仿宋"/>
          <w:b/>
          <w:sz w:val="28"/>
          <w:szCs w:val="28"/>
          <w:highlight w:val="none"/>
        </w:rPr>
        <w:t xml:space="preserve">  </w:t>
      </w:r>
      <w:r>
        <w:rPr>
          <w:rFonts w:hint="eastAsia" w:ascii="仿宋" w:hAnsi="仿宋" w:eastAsia="仿宋"/>
          <w:b/>
          <w:sz w:val="28"/>
          <w:szCs w:val="28"/>
          <w:highlight w:val="none"/>
          <w:lang w:eastAsia="zh-CN"/>
        </w:rPr>
        <w:t>采购</w:t>
      </w:r>
      <w:r>
        <w:rPr>
          <w:rFonts w:hint="eastAsia" w:ascii="仿宋" w:hAnsi="仿宋" w:eastAsia="仿宋"/>
          <w:b/>
          <w:sz w:val="28"/>
          <w:szCs w:val="28"/>
          <w:highlight w:val="none"/>
        </w:rPr>
        <w:t>需求</w:t>
      </w:r>
      <w:bookmarkEnd w:id="2"/>
    </w:p>
    <w:p w14:paraId="22876EC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color w:val="000000"/>
          <w:sz w:val="24"/>
          <w:szCs w:val="24"/>
          <w:highlight w:val="none"/>
        </w:rPr>
      </w:pPr>
      <w:r>
        <w:rPr>
          <w:rFonts w:ascii="黑体" w:hAnsi="黑体" w:eastAsia="黑体" w:cs="宋体"/>
          <w:color w:val="000000"/>
          <w:sz w:val="24"/>
          <w:szCs w:val="24"/>
          <w:highlight w:val="none"/>
        </w:rPr>
        <w:t>一</w:t>
      </w:r>
      <w:r>
        <w:rPr>
          <w:rFonts w:hint="eastAsia" w:ascii="黑体" w:hAnsi="黑体" w:eastAsia="黑体" w:cs="宋体"/>
          <w:color w:val="000000"/>
          <w:sz w:val="24"/>
          <w:szCs w:val="24"/>
          <w:highlight w:val="none"/>
        </w:rPr>
        <w:t>、</w:t>
      </w:r>
      <w:r>
        <w:rPr>
          <w:rFonts w:hint="eastAsia" w:ascii="黑体" w:hAnsi="黑体" w:eastAsia="黑体" w:cs="宋体"/>
          <w:color w:val="000000"/>
          <w:sz w:val="24"/>
          <w:szCs w:val="24"/>
          <w:highlight w:val="none"/>
          <w:lang w:eastAsia="zh-CN"/>
        </w:rPr>
        <w:t>采购</w:t>
      </w:r>
      <w:r>
        <w:rPr>
          <w:rFonts w:ascii="黑体" w:hAnsi="黑体" w:eastAsia="黑体" w:cs="宋体"/>
          <w:color w:val="000000"/>
          <w:sz w:val="24"/>
          <w:szCs w:val="24"/>
          <w:highlight w:val="none"/>
        </w:rPr>
        <w:t>需求</w:t>
      </w:r>
    </w:p>
    <w:p w14:paraId="7FA8D93B">
      <w:pPr>
        <w:adjustRightInd/>
        <w:snapToGrid/>
        <w:spacing w:after="0"/>
        <w:ind w:firstLine="480" w:firstLineChars="20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1.项目名称：青岛北岸储能产业园110kV变电站外线工程（电缆头、电缆试验）</w:t>
      </w:r>
    </w:p>
    <w:p w14:paraId="2D85FF6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2.服务内容：</w:t>
      </w:r>
      <w:r>
        <w:rPr>
          <w:rFonts w:hint="eastAsia" w:ascii="仿宋" w:hAnsi="仿宋" w:eastAsia="仿宋"/>
          <w:sz w:val="24"/>
          <w:szCs w:val="24"/>
          <w:highlight w:val="none"/>
        </w:rPr>
        <w:t>电缆头、电缆试验（详见工程量清单）</w:t>
      </w:r>
    </w:p>
    <w:p w14:paraId="17149F96">
      <w:pPr>
        <w:spacing w:line="560" w:lineRule="exact"/>
        <w:ind w:firstLine="480" w:firstLineChars="200"/>
        <w:rPr>
          <w:rFonts w:hint="eastAsia" w:ascii="仿宋" w:hAnsi="仿宋" w:eastAsia="仿宋"/>
          <w:sz w:val="24"/>
          <w:szCs w:val="24"/>
          <w:highlight w:val="none"/>
        </w:rPr>
      </w:pPr>
      <w:r>
        <w:rPr>
          <w:rFonts w:hint="eastAsia" w:ascii="仿宋" w:hAnsi="仿宋" w:eastAsia="仿宋" w:cs="宋体"/>
          <w:sz w:val="24"/>
          <w:szCs w:val="24"/>
          <w:highlight w:val="none"/>
        </w:rPr>
        <w:t>3.</w:t>
      </w:r>
      <w:r>
        <w:rPr>
          <w:rFonts w:hint="eastAsia" w:ascii="仿宋" w:hAnsi="仿宋" w:eastAsia="仿宋" w:cs="宋体"/>
          <w:sz w:val="24"/>
          <w:szCs w:val="24"/>
          <w:highlight w:val="none"/>
          <w:lang w:eastAsia="zh-CN"/>
        </w:rPr>
        <w:t>采购</w:t>
      </w:r>
      <w:r>
        <w:rPr>
          <w:rFonts w:hint="eastAsia" w:ascii="仿宋" w:hAnsi="仿宋" w:eastAsia="仿宋" w:cs="宋体"/>
          <w:sz w:val="24"/>
          <w:szCs w:val="24"/>
          <w:highlight w:val="none"/>
        </w:rPr>
        <w:t>控制价</w:t>
      </w:r>
      <w:r>
        <w:rPr>
          <w:rFonts w:hint="eastAsia" w:ascii="仿宋" w:hAnsi="仿宋" w:eastAsia="仿宋" w:cs="宋体"/>
          <w:color w:val="000000"/>
          <w:sz w:val="24"/>
          <w:szCs w:val="24"/>
          <w:highlight w:val="none"/>
        </w:rPr>
        <w:t>：</w:t>
      </w:r>
      <w:r>
        <w:rPr>
          <w:rFonts w:hint="eastAsia" w:ascii="仿宋" w:hAnsi="仿宋" w:eastAsia="仿宋"/>
          <w:sz w:val="24"/>
          <w:szCs w:val="24"/>
          <w:highlight w:val="none"/>
        </w:rPr>
        <w:t>475131.38元（含税增值税税率9%），不含税价435900.35元</w:t>
      </w:r>
    </w:p>
    <w:p w14:paraId="6A6054E2">
      <w:pPr>
        <w:keepNext w:val="0"/>
        <w:keepLines w:val="0"/>
        <w:pageBreakBefore w:val="0"/>
        <w:widowControl w:val="0"/>
        <w:kinsoku/>
        <w:wordWrap/>
        <w:overflowPunct/>
        <w:topLinePunct w:val="0"/>
        <w:autoSpaceDE/>
        <w:autoSpaceDN/>
        <w:bidi w:val="0"/>
        <w:adjustRightInd/>
        <w:snapToGrid/>
        <w:spacing w:after="0" w:line="560" w:lineRule="exact"/>
        <w:ind w:left="479" w:leftChars="228" w:firstLine="0" w:firstLineChars="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4.供应商资格要求：</w:t>
      </w:r>
    </w:p>
    <w:p w14:paraId="68B11CAD">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4.1供应商必须具有独立法人资格,各供应商不得有企业关联或股权关系。</w:t>
      </w:r>
    </w:p>
    <w:p w14:paraId="2DB9AF6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lang w:eastAsia="zh-CN"/>
        </w:rPr>
      </w:pPr>
      <w:r>
        <w:rPr>
          <w:rFonts w:hint="eastAsia" w:ascii="仿宋" w:hAnsi="仿宋" w:eastAsia="仿宋" w:cs="宋体"/>
          <w:color w:val="000000"/>
          <w:sz w:val="24"/>
          <w:szCs w:val="24"/>
          <w:highlight w:val="none"/>
        </w:rPr>
        <w:t>4.2</w:t>
      </w:r>
      <w:r>
        <w:rPr>
          <w:rFonts w:hint="eastAsia" w:ascii="仿宋" w:hAnsi="仿宋" w:eastAsia="仿宋"/>
          <w:sz w:val="24"/>
          <w:szCs w:val="24"/>
          <w:highlight w:val="none"/>
        </w:rPr>
        <w:t>供应商须具有具有承装（修、试）电力设施许可证，承装、承试类二级及以上企业资质，并具有有效期内的安全生产许可证</w:t>
      </w:r>
      <w:r>
        <w:rPr>
          <w:rFonts w:hint="eastAsia" w:ascii="仿宋" w:hAnsi="仿宋" w:eastAsia="仿宋"/>
          <w:sz w:val="24"/>
          <w:szCs w:val="24"/>
          <w:highlight w:val="none"/>
          <w:lang w:eastAsia="zh-CN"/>
        </w:rPr>
        <w:t>。</w:t>
      </w:r>
    </w:p>
    <w:p w14:paraId="5712F72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宋体" w:hAnsi="宋体" w:eastAsia="宋体" w:cs="宋体"/>
          <w:sz w:val="24"/>
          <w:szCs w:val="24"/>
          <w:highlight w:val="none"/>
        </w:rPr>
      </w:pPr>
      <w:r>
        <w:rPr>
          <w:rFonts w:hint="eastAsia" w:ascii="黑体" w:hAnsi="黑体" w:eastAsia="黑体" w:cs="宋体"/>
          <w:color w:val="000000"/>
          <w:sz w:val="24"/>
          <w:szCs w:val="24"/>
          <w:highlight w:val="none"/>
        </w:rPr>
        <w:t xml:space="preserve">二、工期要求 </w:t>
      </w:r>
    </w:p>
    <w:p w14:paraId="24045C1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自合同签订并接采购人进场通知之日起5天内完成,具体开工日期以甲方通知为准。除人力不可抗拒及不可预见的因素外，一律不得顺延。</w:t>
      </w:r>
    </w:p>
    <w:p w14:paraId="2C24CE5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宋体" w:hAnsi="宋体" w:eastAsia="宋体" w:cs="宋体"/>
          <w:sz w:val="24"/>
          <w:szCs w:val="24"/>
          <w:highlight w:val="none"/>
        </w:rPr>
      </w:pPr>
      <w:r>
        <w:rPr>
          <w:rFonts w:hint="eastAsia" w:ascii="黑体" w:hAnsi="黑体" w:eastAsia="黑体" w:cs="宋体"/>
          <w:color w:val="000000"/>
          <w:sz w:val="24"/>
          <w:szCs w:val="24"/>
          <w:highlight w:val="none"/>
        </w:rPr>
        <w:t xml:space="preserve">三、质量标准 </w:t>
      </w:r>
    </w:p>
    <w:p w14:paraId="7974036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1.本工程要求质量标准为:一次性验收合格。</w:t>
      </w:r>
    </w:p>
    <w:p w14:paraId="20CF82E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2.本工程按照国家现行工程验收规范、标准进行评定验收。</w:t>
      </w:r>
    </w:p>
    <w:p w14:paraId="23A96560">
      <w:pPr>
        <w:keepNext w:val="0"/>
        <w:keepLines w:val="0"/>
        <w:pageBreakBefore w:val="0"/>
        <w:widowControl w:val="0"/>
        <w:kinsoku/>
        <w:wordWrap/>
        <w:overflowPunct/>
        <w:topLinePunct w:val="0"/>
        <w:autoSpaceDE/>
        <w:autoSpaceDN/>
        <w:bidi w:val="0"/>
        <w:adjustRightInd/>
        <w:snapToGrid/>
        <w:spacing w:after="0" w:line="560" w:lineRule="exact"/>
        <w:textAlignment w:val="auto"/>
        <w:rPr>
          <w:sz w:val="24"/>
          <w:szCs w:val="24"/>
          <w:highlight w:val="none"/>
        </w:rPr>
      </w:pPr>
      <w:r>
        <w:rPr>
          <w:rFonts w:hint="eastAsia" w:ascii="黑体" w:hAnsi="黑体" w:eastAsia="黑体" w:cs="宋体"/>
          <w:color w:val="000000"/>
          <w:sz w:val="24"/>
          <w:szCs w:val="24"/>
          <w:highlight w:val="none"/>
        </w:rPr>
        <w:t>四、</w:t>
      </w:r>
      <w:r>
        <w:rPr>
          <w:rFonts w:ascii="黑体" w:hAnsi="黑体" w:eastAsia="黑体" w:cs="宋体"/>
          <w:color w:val="000000"/>
          <w:sz w:val="24"/>
          <w:szCs w:val="24"/>
          <w:highlight w:val="none"/>
        </w:rPr>
        <w:t>技术标准和施工要求</w:t>
      </w:r>
      <w:r>
        <w:rPr>
          <w:sz w:val="24"/>
          <w:szCs w:val="24"/>
          <w:highlight w:val="none"/>
        </w:rPr>
        <w:t xml:space="preserve"> </w:t>
      </w:r>
    </w:p>
    <w:p w14:paraId="21B23BC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w:t>
      </w:r>
      <w:r>
        <w:rPr>
          <w:rFonts w:ascii="仿宋" w:hAnsi="仿宋" w:eastAsia="仿宋" w:cs="宋体"/>
          <w:color w:val="000000"/>
          <w:sz w:val="24"/>
          <w:szCs w:val="24"/>
          <w:highlight w:val="none"/>
        </w:rPr>
        <w:t>本工程应按国家、建设部、工程施工技术（验收）规程、规范标准施工。</w:t>
      </w:r>
    </w:p>
    <w:p w14:paraId="777B71F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w:t>
      </w:r>
      <w:r>
        <w:rPr>
          <w:rFonts w:ascii="仿宋" w:hAnsi="仿宋" w:eastAsia="仿宋" w:cs="宋体"/>
          <w:color w:val="000000"/>
          <w:sz w:val="24"/>
          <w:szCs w:val="24"/>
          <w:highlight w:val="none"/>
        </w:rPr>
        <w:t xml:space="preserve">严格按照施工图纸、工程量清单及有关技术要求、文件、资料进行施工。 </w:t>
      </w:r>
    </w:p>
    <w:p w14:paraId="72B4958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color w:val="000000"/>
          <w:sz w:val="24"/>
          <w:szCs w:val="24"/>
          <w:highlight w:val="none"/>
        </w:rPr>
      </w:pPr>
      <w:r>
        <w:rPr>
          <w:rFonts w:hint="eastAsia" w:ascii="黑体" w:hAnsi="黑体" w:eastAsia="黑体" w:cs="宋体"/>
          <w:color w:val="000000"/>
          <w:sz w:val="24"/>
          <w:szCs w:val="24"/>
          <w:highlight w:val="none"/>
        </w:rPr>
        <w:t>五、付款及结算方式</w:t>
      </w:r>
    </w:p>
    <w:p w14:paraId="57DCF82B">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1.固定单价，工程量按经甲方验收合格的实际工程量结算。</w:t>
      </w:r>
    </w:p>
    <w:p w14:paraId="4B58039B">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付款前，甲方需对乙方已完成的合格工程量进行验收结算入账，并根据本项目建设单位付款比例同步进行付款，整体付款比例不超过合同额的80%，审计完成后支付至审定值的97%，余款待缺陷责任期满后一次性结算无息付清。甲方每次付款前，乙方应按照甲方要求向甲方开具合法有效的等额增值税专用发票，其中审计完成后应开具至审定值全额增值税专用发票（如遇税率调整，按照最新税率政策执行），否则甲方有权拒绝乙方的付款请求且不承担逾期付款责任；各阶段付款甲方根据本项目建设单位付款比例同步进行付款，建设单位出现付款延迟的情况，各阶段付款时间相应顺延。</w:t>
      </w:r>
    </w:p>
    <w:p w14:paraId="06D4898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宋体"/>
          <w:color w:val="000000"/>
          <w:sz w:val="24"/>
          <w:szCs w:val="24"/>
          <w:highlight w:val="none"/>
          <w:lang w:eastAsia="zh-CN"/>
        </w:rPr>
      </w:pPr>
      <w:r>
        <w:rPr>
          <w:rFonts w:hint="eastAsia" w:ascii="黑体" w:hAnsi="黑体" w:eastAsia="黑体" w:cs="宋体"/>
          <w:color w:val="000000"/>
          <w:sz w:val="24"/>
          <w:szCs w:val="24"/>
          <w:highlight w:val="none"/>
        </w:rPr>
        <w:t>六、缺陷责任</w:t>
      </w:r>
      <w:r>
        <w:rPr>
          <w:rFonts w:hint="eastAsia" w:ascii="黑体" w:hAnsi="黑体" w:eastAsia="黑体" w:cs="宋体"/>
          <w:color w:val="000000"/>
          <w:sz w:val="24"/>
          <w:szCs w:val="24"/>
          <w:highlight w:val="none"/>
          <w:lang w:eastAsia="zh-CN"/>
        </w:rPr>
        <w:t>期</w:t>
      </w:r>
    </w:p>
    <w:p w14:paraId="0608C3F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本工程约定缺陷责任期为2年，自竣工验收通过之日起计。</w:t>
      </w:r>
    </w:p>
    <w:p w14:paraId="024DEC3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宋体"/>
          <w:color w:val="000000"/>
          <w:sz w:val="24"/>
          <w:szCs w:val="24"/>
          <w:highlight w:val="none"/>
          <w:lang w:eastAsia="zh-CN"/>
        </w:rPr>
      </w:pPr>
      <w:r>
        <w:rPr>
          <w:rFonts w:hint="eastAsia" w:ascii="黑体" w:hAnsi="黑体" w:eastAsia="黑体" w:cs="宋体"/>
          <w:color w:val="000000"/>
          <w:sz w:val="24"/>
          <w:szCs w:val="24"/>
          <w:highlight w:val="none"/>
          <w:lang w:eastAsia="zh-CN"/>
        </w:rPr>
        <w:t>七</w:t>
      </w:r>
      <w:r>
        <w:rPr>
          <w:rFonts w:hint="eastAsia" w:ascii="黑体" w:hAnsi="黑体" w:eastAsia="黑体" w:cs="宋体"/>
          <w:color w:val="000000"/>
          <w:sz w:val="24"/>
          <w:szCs w:val="24"/>
          <w:highlight w:val="none"/>
        </w:rPr>
        <w:t>、</w:t>
      </w:r>
      <w:r>
        <w:rPr>
          <w:rFonts w:hint="eastAsia" w:ascii="黑体" w:hAnsi="黑体" w:eastAsia="黑体" w:cs="宋体"/>
          <w:color w:val="000000"/>
          <w:sz w:val="24"/>
          <w:szCs w:val="24"/>
          <w:highlight w:val="none"/>
          <w:lang w:eastAsia="zh-CN"/>
        </w:rPr>
        <w:t>质量保修期</w:t>
      </w:r>
    </w:p>
    <w:p w14:paraId="41ED98F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质量保修期2年，自工程竣工验收合格之日起计算。</w:t>
      </w:r>
    </w:p>
    <w:p w14:paraId="2EAD8CF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olor w:val="000000"/>
          <w:sz w:val="24"/>
          <w:szCs w:val="24"/>
          <w:highlight w:val="none"/>
        </w:rPr>
      </w:pPr>
      <w:r>
        <w:rPr>
          <w:rFonts w:hint="eastAsia" w:ascii="黑体" w:hAnsi="黑体" w:eastAsia="黑体"/>
          <w:color w:val="000000"/>
          <w:sz w:val="24"/>
          <w:szCs w:val="24"/>
          <w:highlight w:val="none"/>
          <w:lang w:eastAsia="zh-CN"/>
        </w:rPr>
        <w:t>八</w:t>
      </w:r>
      <w:r>
        <w:rPr>
          <w:rFonts w:hint="eastAsia" w:ascii="黑体" w:hAnsi="黑体" w:eastAsia="黑体"/>
          <w:color w:val="000000"/>
          <w:sz w:val="24"/>
          <w:szCs w:val="24"/>
          <w:highlight w:val="none"/>
        </w:rPr>
        <w:t>、</w:t>
      </w:r>
      <w:r>
        <w:rPr>
          <w:rFonts w:hint="eastAsia" w:ascii="黑体" w:hAnsi="黑体" w:eastAsia="黑体" w:cs="Times New Roman"/>
          <w:color w:val="000000"/>
          <w:sz w:val="24"/>
          <w:szCs w:val="24"/>
          <w:highlight w:val="none"/>
        </w:rPr>
        <w:t>安全文明施工</w:t>
      </w:r>
    </w:p>
    <w:p w14:paraId="0CFB258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安全目标：杜绝死亡、重伤负伤事故。承包人在施工期间，应严格执行国家、山东省和青岛市有关建设工程安全、文明施工的规定。</w:t>
      </w:r>
    </w:p>
    <w:p w14:paraId="5F367CA9">
      <w:pPr>
        <w:adjustRightInd/>
        <w:snapToGrid/>
        <w:spacing w:after="0"/>
        <w:rPr>
          <w:rFonts w:ascii="黑体" w:hAnsi="黑体" w:eastAsia="黑体" w:cs="Times New Roman"/>
          <w:color w:val="000000"/>
          <w:sz w:val="24"/>
          <w:szCs w:val="24"/>
          <w:highlight w:val="none"/>
        </w:rPr>
      </w:pPr>
      <w:r>
        <w:rPr>
          <w:rFonts w:hint="eastAsia" w:ascii="黑体" w:hAnsi="黑体" w:eastAsia="黑体" w:cs="Times New Roman"/>
          <w:color w:val="000000"/>
          <w:sz w:val="24"/>
          <w:szCs w:val="24"/>
          <w:highlight w:val="none"/>
          <w:lang w:eastAsia="zh-CN"/>
        </w:rPr>
        <w:t>九</w:t>
      </w:r>
      <w:r>
        <w:rPr>
          <w:rFonts w:hint="eastAsia" w:ascii="黑体" w:hAnsi="黑体" w:eastAsia="黑体" w:cs="Times New Roman"/>
          <w:color w:val="000000"/>
          <w:sz w:val="24"/>
          <w:szCs w:val="24"/>
          <w:highlight w:val="none"/>
        </w:rPr>
        <w:t>、</w:t>
      </w:r>
      <w:r>
        <w:rPr>
          <w:rFonts w:ascii="黑体" w:hAnsi="黑体" w:eastAsia="黑体" w:cs="Times New Roman"/>
          <w:color w:val="000000"/>
          <w:sz w:val="24"/>
          <w:szCs w:val="24"/>
          <w:highlight w:val="none"/>
        </w:rPr>
        <w:t>工程量清单</w:t>
      </w:r>
    </w:p>
    <w:tbl>
      <w:tblPr>
        <w:tblStyle w:val="27"/>
        <w:tblW w:w="4588" w:type="pct"/>
        <w:tblInd w:w="0" w:type="dxa"/>
        <w:tblLayout w:type="autofit"/>
        <w:tblCellMar>
          <w:top w:w="0" w:type="dxa"/>
          <w:left w:w="108" w:type="dxa"/>
          <w:bottom w:w="0" w:type="dxa"/>
          <w:right w:w="108" w:type="dxa"/>
        </w:tblCellMar>
      </w:tblPr>
      <w:tblGrid>
        <w:gridCol w:w="614"/>
        <w:gridCol w:w="3016"/>
        <w:gridCol w:w="745"/>
        <w:gridCol w:w="1096"/>
        <w:gridCol w:w="1520"/>
        <w:gridCol w:w="1530"/>
      </w:tblGrid>
      <w:tr w14:paraId="0E37939D">
        <w:tblPrEx>
          <w:tblCellMar>
            <w:top w:w="0" w:type="dxa"/>
            <w:left w:w="108" w:type="dxa"/>
            <w:bottom w:w="0" w:type="dxa"/>
            <w:right w:w="108" w:type="dxa"/>
          </w:tblCellMar>
        </w:tblPrEx>
        <w:trPr>
          <w:trHeight w:val="255" w:hRule="atLeast"/>
        </w:trPr>
        <w:tc>
          <w:tcPr>
            <w:tcW w:w="5000" w:type="pct"/>
            <w:gridSpan w:val="6"/>
            <w:tcBorders>
              <w:top w:val="nil"/>
              <w:left w:val="nil"/>
              <w:bottom w:val="single" w:color="auto" w:sz="4" w:space="0"/>
              <w:right w:val="nil"/>
            </w:tcBorders>
            <w:shd w:val="clear" w:color="auto" w:fill="auto"/>
            <w:vAlign w:val="center"/>
          </w:tcPr>
          <w:p w14:paraId="1AB70251">
            <w:pPr>
              <w:adjustRightInd/>
              <w:snapToGrid/>
              <w:spacing w:after="0"/>
              <w:rPr>
                <w:rFonts w:hint="eastAsia" w:ascii="仿宋" w:hAnsi="仿宋" w:eastAsia="仿宋" w:cs="仿宋"/>
                <w:sz w:val="18"/>
                <w:szCs w:val="18"/>
              </w:rPr>
            </w:pPr>
            <w:r>
              <w:rPr>
                <w:rFonts w:hint="eastAsia" w:ascii="仿宋" w:hAnsi="仿宋" w:eastAsia="仿宋" w:cs="仿宋"/>
                <w:sz w:val="18"/>
                <w:szCs w:val="18"/>
              </w:rPr>
              <w:t>工程名称:青岛北岸储能产业园110kV变电站外线工程（电缆头、电缆试验）</w:t>
            </w:r>
          </w:p>
        </w:tc>
      </w:tr>
      <w:tr w14:paraId="0B1E0B64">
        <w:tblPrEx>
          <w:tblCellMar>
            <w:top w:w="0" w:type="dxa"/>
            <w:left w:w="108" w:type="dxa"/>
            <w:bottom w:w="0" w:type="dxa"/>
            <w:right w:w="108" w:type="dxa"/>
          </w:tblCellMar>
        </w:tblPrEx>
        <w:trPr>
          <w:trHeight w:val="379" w:hRule="atLeast"/>
        </w:trPr>
        <w:tc>
          <w:tcPr>
            <w:tcW w:w="360" w:type="pct"/>
            <w:vMerge w:val="restart"/>
            <w:tcBorders>
              <w:top w:val="nil"/>
              <w:left w:val="single" w:color="auto" w:sz="4" w:space="0"/>
              <w:bottom w:val="single" w:color="auto" w:sz="4" w:space="0"/>
              <w:right w:val="single" w:color="auto" w:sz="4" w:space="0"/>
            </w:tcBorders>
            <w:shd w:val="clear" w:color="auto" w:fill="auto"/>
            <w:vAlign w:val="center"/>
          </w:tcPr>
          <w:p w14:paraId="1CD9FCC4">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序号</w:t>
            </w:r>
          </w:p>
        </w:tc>
        <w:tc>
          <w:tcPr>
            <w:tcW w:w="1770" w:type="pct"/>
            <w:vMerge w:val="restart"/>
            <w:tcBorders>
              <w:top w:val="nil"/>
              <w:left w:val="single" w:color="auto" w:sz="4" w:space="0"/>
              <w:bottom w:val="single" w:color="auto" w:sz="4" w:space="0"/>
              <w:right w:val="single" w:color="auto" w:sz="4" w:space="0"/>
            </w:tcBorders>
            <w:shd w:val="clear" w:color="auto" w:fill="auto"/>
            <w:vAlign w:val="center"/>
          </w:tcPr>
          <w:p w14:paraId="7D702A91">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项目名称</w:t>
            </w:r>
            <w:r>
              <w:rPr>
                <w:rFonts w:hint="eastAsia" w:ascii="仿宋" w:hAnsi="仿宋" w:eastAsia="仿宋" w:cs="仿宋"/>
                <w:b/>
                <w:bCs/>
                <w:sz w:val="16"/>
                <w:szCs w:val="16"/>
              </w:rPr>
              <w:br w:type="textWrapping"/>
            </w:r>
            <w:r>
              <w:rPr>
                <w:rFonts w:hint="eastAsia" w:ascii="仿宋" w:hAnsi="仿宋" w:eastAsia="仿宋" w:cs="仿宋"/>
                <w:b/>
                <w:bCs/>
                <w:sz w:val="16"/>
                <w:szCs w:val="16"/>
              </w:rPr>
              <w:t>项目特征</w:t>
            </w:r>
          </w:p>
        </w:tc>
        <w:tc>
          <w:tcPr>
            <w:tcW w:w="437" w:type="pct"/>
            <w:vMerge w:val="restart"/>
            <w:tcBorders>
              <w:top w:val="nil"/>
              <w:left w:val="single" w:color="auto" w:sz="4" w:space="0"/>
              <w:bottom w:val="single" w:color="auto" w:sz="4" w:space="0"/>
              <w:right w:val="single" w:color="auto" w:sz="4" w:space="0"/>
            </w:tcBorders>
            <w:shd w:val="clear" w:color="auto" w:fill="auto"/>
            <w:vAlign w:val="center"/>
          </w:tcPr>
          <w:p w14:paraId="40DBAD97">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计量</w:t>
            </w:r>
            <w:r>
              <w:rPr>
                <w:rFonts w:hint="eastAsia" w:ascii="仿宋" w:hAnsi="仿宋" w:eastAsia="仿宋" w:cs="仿宋"/>
                <w:b/>
                <w:bCs/>
                <w:sz w:val="16"/>
                <w:szCs w:val="16"/>
              </w:rPr>
              <w:br w:type="textWrapping"/>
            </w:r>
            <w:r>
              <w:rPr>
                <w:rFonts w:hint="eastAsia" w:ascii="仿宋" w:hAnsi="仿宋" w:eastAsia="仿宋" w:cs="仿宋"/>
                <w:b/>
                <w:bCs/>
                <w:sz w:val="16"/>
                <w:szCs w:val="16"/>
              </w:rPr>
              <w:t>单位</w:t>
            </w:r>
          </w:p>
        </w:tc>
        <w:tc>
          <w:tcPr>
            <w:tcW w:w="643" w:type="pct"/>
            <w:vMerge w:val="restart"/>
            <w:tcBorders>
              <w:top w:val="nil"/>
              <w:left w:val="single" w:color="auto" w:sz="4" w:space="0"/>
              <w:bottom w:val="single" w:color="auto" w:sz="4" w:space="0"/>
              <w:right w:val="single" w:color="auto" w:sz="4" w:space="0"/>
            </w:tcBorders>
            <w:shd w:val="clear" w:color="auto" w:fill="auto"/>
            <w:vAlign w:val="center"/>
          </w:tcPr>
          <w:p w14:paraId="289B5888">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工程量</w:t>
            </w:r>
          </w:p>
        </w:tc>
        <w:tc>
          <w:tcPr>
            <w:tcW w:w="1787" w:type="pct"/>
            <w:gridSpan w:val="2"/>
            <w:tcBorders>
              <w:top w:val="single" w:color="auto" w:sz="4" w:space="0"/>
              <w:left w:val="nil"/>
              <w:bottom w:val="single" w:color="auto" w:sz="4" w:space="0"/>
              <w:right w:val="single" w:color="000000" w:sz="4" w:space="0"/>
            </w:tcBorders>
            <w:shd w:val="clear" w:color="auto" w:fill="auto"/>
            <w:vAlign w:val="center"/>
          </w:tcPr>
          <w:p w14:paraId="4FC5C6F7">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金额（元）</w:t>
            </w:r>
          </w:p>
        </w:tc>
      </w:tr>
      <w:tr w14:paraId="471340AB">
        <w:tblPrEx>
          <w:tblCellMar>
            <w:top w:w="0" w:type="dxa"/>
            <w:left w:w="108" w:type="dxa"/>
            <w:bottom w:w="0" w:type="dxa"/>
            <w:right w:w="108" w:type="dxa"/>
          </w:tblCellMar>
        </w:tblPrEx>
        <w:trPr>
          <w:trHeight w:val="379" w:hRule="atLeast"/>
        </w:trPr>
        <w:tc>
          <w:tcPr>
            <w:tcW w:w="360" w:type="pct"/>
            <w:vMerge w:val="continue"/>
            <w:tcBorders>
              <w:top w:val="nil"/>
              <w:left w:val="single" w:color="auto" w:sz="4" w:space="0"/>
              <w:bottom w:val="single" w:color="auto" w:sz="4" w:space="0"/>
              <w:right w:val="single" w:color="auto" w:sz="4" w:space="0"/>
            </w:tcBorders>
            <w:vAlign w:val="center"/>
          </w:tcPr>
          <w:p w14:paraId="5B9F7E0D">
            <w:pPr>
              <w:adjustRightInd/>
              <w:snapToGrid/>
              <w:spacing w:after="0"/>
              <w:rPr>
                <w:rFonts w:hint="eastAsia" w:ascii="仿宋" w:hAnsi="仿宋" w:eastAsia="仿宋" w:cs="仿宋"/>
                <w:b/>
                <w:bCs/>
                <w:sz w:val="16"/>
                <w:szCs w:val="16"/>
              </w:rPr>
            </w:pPr>
          </w:p>
        </w:tc>
        <w:tc>
          <w:tcPr>
            <w:tcW w:w="1770" w:type="pct"/>
            <w:vMerge w:val="continue"/>
            <w:tcBorders>
              <w:top w:val="nil"/>
              <w:left w:val="single" w:color="auto" w:sz="4" w:space="0"/>
              <w:bottom w:val="single" w:color="auto" w:sz="4" w:space="0"/>
              <w:right w:val="single" w:color="auto" w:sz="4" w:space="0"/>
            </w:tcBorders>
            <w:vAlign w:val="center"/>
          </w:tcPr>
          <w:p w14:paraId="62BA2D7D">
            <w:pPr>
              <w:adjustRightInd/>
              <w:snapToGrid/>
              <w:spacing w:after="0"/>
              <w:rPr>
                <w:rFonts w:hint="eastAsia" w:ascii="仿宋" w:hAnsi="仿宋" w:eastAsia="仿宋" w:cs="仿宋"/>
                <w:b/>
                <w:bCs/>
                <w:sz w:val="16"/>
                <w:szCs w:val="16"/>
              </w:rPr>
            </w:pPr>
          </w:p>
        </w:tc>
        <w:tc>
          <w:tcPr>
            <w:tcW w:w="437" w:type="pct"/>
            <w:vMerge w:val="continue"/>
            <w:tcBorders>
              <w:top w:val="nil"/>
              <w:left w:val="single" w:color="auto" w:sz="4" w:space="0"/>
              <w:bottom w:val="single" w:color="auto" w:sz="4" w:space="0"/>
              <w:right w:val="single" w:color="auto" w:sz="4" w:space="0"/>
            </w:tcBorders>
            <w:vAlign w:val="center"/>
          </w:tcPr>
          <w:p w14:paraId="30924DC8">
            <w:pPr>
              <w:adjustRightInd/>
              <w:snapToGrid/>
              <w:spacing w:after="0"/>
              <w:rPr>
                <w:rFonts w:hint="eastAsia" w:ascii="仿宋" w:hAnsi="仿宋" w:eastAsia="仿宋" w:cs="仿宋"/>
                <w:b/>
                <w:bCs/>
                <w:sz w:val="16"/>
                <w:szCs w:val="16"/>
              </w:rPr>
            </w:pPr>
          </w:p>
        </w:tc>
        <w:tc>
          <w:tcPr>
            <w:tcW w:w="643" w:type="pct"/>
            <w:vMerge w:val="continue"/>
            <w:tcBorders>
              <w:top w:val="nil"/>
              <w:left w:val="single" w:color="auto" w:sz="4" w:space="0"/>
              <w:bottom w:val="single" w:color="auto" w:sz="4" w:space="0"/>
              <w:right w:val="single" w:color="auto" w:sz="4" w:space="0"/>
            </w:tcBorders>
            <w:vAlign w:val="center"/>
          </w:tcPr>
          <w:p w14:paraId="740B523C">
            <w:pPr>
              <w:adjustRightInd/>
              <w:snapToGrid/>
              <w:spacing w:after="0"/>
              <w:rPr>
                <w:rFonts w:hint="eastAsia" w:ascii="仿宋" w:hAnsi="仿宋" w:eastAsia="仿宋" w:cs="仿宋"/>
                <w:b/>
                <w:bCs/>
                <w:sz w:val="16"/>
                <w:szCs w:val="16"/>
              </w:rPr>
            </w:pPr>
          </w:p>
        </w:tc>
        <w:tc>
          <w:tcPr>
            <w:tcW w:w="892" w:type="pct"/>
            <w:vMerge w:val="restart"/>
            <w:tcBorders>
              <w:top w:val="nil"/>
              <w:left w:val="single" w:color="auto" w:sz="4" w:space="0"/>
              <w:bottom w:val="single" w:color="000000" w:sz="4" w:space="0"/>
              <w:right w:val="single" w:color="auto" w:sz="4" w:space="0"/>
            </w:tcBorders>
            <w:shd w:val="clear" w:color="auto" w:fill="auto"/>
            <w:vAlign w:val="center"/>
          </w:tcPr>
          <w:p w14:paraId="5078F409">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控制单价</w:t>
            </w:r>
          </w:p>
        </w:tc>
        <w:tc>
          <w:tcPr>
            <w:tcW w:w="894" w:type="pct"/>
            <w:vMerge w:val="restart"/>
            <w:tcBorders>
              <w:top w:val="nil"/>
              <w:left w:val="single" w:color="auto" w:sz="4" w:space="0"/>
              <w:bottom w:val="single" w:color="000000" w:sz="4" w:space="0"/>
              <w:right w:val="single" w:color="auto" w:sz="4" w:space="0"/>
            </w:tcBorders>
            <w:shd w:val="clear" w:color="auto" w:fill="auto"/>
            <w:vAlign w:val="center"/>
          </w:tcPr>
          <w:p w14:paraId="5474B496">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控制价合计</w:t>
            </w:r>
          </w:p>
        </w:tc>
      </w:tr>
      <w:tr w14:paraId="489BE1C8">
        <w:tblPrEx>
          <w:tblCellMar>
            <w:top w:w="0" w:type="dxa"/>
            <w:left w:w="108" w:type="dxa"/>
            <w:bottom w:w="0" w:type="dxa"/>
            <w:right w:w="108" w:type="dxa"/>
          </w:tblCellMar>
        </w:tblPrEx>
        <w:trPr>
          <w:trHeight w:val="420" w:hRule="atLeast"/>
        </w:trPr>
        <w:tc>
          <w:tcPr>
            <w:tcW w:w="360" w:type="pct"/>
            <w:vMerge w:val="continue"/>
            <w:tcBorders>
              <w:top w:val="nil"/>
              <w:left w:val="single" w:color="auto" w:sz="4" w:space="0"/>
              <w:bottom w:val="single" w:color="auto" w:sz="4" w:space="0"/>
              <w:right w:val="single" w:color="auto" w:sz="4" w:space="0"/>
            </w:tcBorders>
            <w:vAlign w:val="center"/>
          </w:tcPr>
          <w:p w14:paraId="499012D8">
            <w:pPr>
              <w:adjustRightInd/>
              <w:snapToGrid/>
              <w:spacing w:after="0"/>
              <w:rPr>
                <w:rFonts w:hint="eastAsia" w:ascii="仿宋" w:hAnsi="仿宋" w:eastAsia="仿宋" w:cs="仿宋"/>
                <w:b/>
                <w:bCs/>
                <w:sz w:val="16"/>
                <w:szCs w:val="16"/>
              </w:rPr>
            </w:pPr>
          </w:p>
        </w:tc>
        <w:tc>
          <w:tcPr>
            <w:tcW w:w="1770" w:type="pct"/>
            <w:vMerge w:val="continue"/>
            <w:tcBorders>
              <w:top w:val="nil"/>
              <w:left w:val="single" w:color="auto" w:sz="4" w:space="0"/>
              <w:bottom w:val="single" w:color="auto" w:sz="4" w:space="0"/>
              <w:right w:val="single" w:color="auto" w:sz="4" w:space="0"/>
            </w:tcBorders>
            <w:vAlign w:val="center"/>
          </w:tcPr>
          <w:p w14:paraId="62F57753">
            <w:pPr>
              <w:adjustRightInd/>
              <w:snapToGrid/>
              <w:spacing w:after="0"/>
              <w:rPr>
                <w:rFonts w:hint="eastAsia" w:ascii="仿宋" w:hAnsi="仿宋" w:eastAsia="仿宋" w:cs="仿宋"/>
                <w:b/>
                <w:bCs/>
                <w:sz w:val="16"/>
                <w:szCs w:val="16"/>
              </w:rPr>
            </w:pPr>
          </w:p>
        </w:tc>
        <w:tc>
          <w:tcPr>
            <w:tcW w:w="437" w:type="pct"/>
            <w:vMerge w:val="continue"/>
            <w:tcBorders>
              <w:top w:val="nil"/>
              <w:left w:val="single" w:color="auto" w:sz="4" w:space="0"/>
              <w:bottom w:val="single" w:color="auto" w:sz="4" w:space="0"/>
              <w:right w:val="single" w:color="auto" w:sz="4" w:space="0"/>
            </w:tcBorders>
            <w:vAlign w:val="center"/>
          </w:tcPr>
          <w:p w14:paraId="5F3BD17D">
            <w:pPr>
              <w:adjustRightInd/>
              <w:snapToGrid/>
              <w:spacing w:after="0"/>
              <w:rPr>
                <w:rFonts w:hint="eastAsia" w:ascii="仿宋" w:hAnsi="仿宋" w:eastAsia="仿宋" w:cs="仿宋"/>
                <w:b/>
                <w:bCs/>
                <w:sz w:val="16"/>
                <w:szCs w:val="16"/>
              </w:rPr>
            </w:pPr>
          </w:p>
        </w:tc>
        <w:tc>
          <w:tcPr>
            <w:tcW w:w="643" w:type="pct"/>
            <w:vMerge w:val="continue"/>
            <w:tcBorders>
              <w:top w:val="nil"/>
              <w:left w:val="single" w:color="auto" w:sz="4" w:space="0"/>
              <w:bottom w:val="single" w:color="auto" w:sz="4" w:space="0"/>
              <w:right w:val="single" w:color="auto" w:sz="4" w:space="0"/>
            </w:tcBorders>
            <w:vAlign w:val="center"/>
          </w:tcPr>
          <w:p w14:paraId="4E774213">
            <w:pPr>
              <w:adjustRightInd/>
              <w:snapToGrid/>
              <w:spacing w:after="0"/>
              <w:rPr>
                <w:rFonts w:hint="eastAsia" w:ascii="仿宋" w:hAnsi="仿宋" w:eastAsia="仿宋" w:cs="仿宋"/>
                <w:b/>
                <w:bCs/>
                <w:sz w:val="16"/>
                <w:szCs w:val="16"/>
              </w:rPr>
            </w:pPr>
          </w:p>
        </w:tc>
        <w:tc>
          <w:tcPr>
            <w:tcW w:w="892" w:type="pct"/>
            <w:vMerge w:val="continue"/>
            <w:tcBorders>
              <w:top w:val="nil"/>
              <w:left w:val="single" w:color="auto" w:sz="4" w:space="0"/>
              <w:bottom w:val="single" w:color="000000" w:sz="4" w:space="0"/>
              <w:right w:val="single" w:color="auto" w:sz="4" w:space="0"/>
            </w:tcBorders>
            <w:vAlign w:val="center"/>
          </w:tcPr>
          <w:p w14:paraId="3F781091">
            <w:pPr>
              <w:adjustRightInd/>
              <w:snapToGrid/>
              <w:spacing w:after="0"/>
              <w:rPr>
                <w:rFonts w:hint="eastAsia" w:ascii="仿宋" w:hAnsi="仿宋" w:eastAsia="仿宋" w:cs="仿宋"/>
                <w:b/>
                <w:bCs/>
                <w:sz w:val="16"/>
                <w:szCs w:val="16"/>
              </w:rPr>
            </w:pPr>
          </w:p>
        </w:tc>
        <w:tc>
          <w:tcPr>
            <w:tcW w:w="894" w:type="pct"/>
            <w:vMerge w:val="continue"/>
            <w:tcBorders>
              <w:top w:val="nil"/>
              <w:left w:val="single" w:color="auto" w:sz="4" w:space="0"/>
              <w:bottom w:val="single" w:color="000000" w:sz="4" w:space="0"/>
              <w:right w:val="single" w:color="auto" w:sz="4" w:space="0"/>
            </w:tcBorders>
            <w:vAlign w:val="center"/>
          </w:tcPr>
          <w:p w14:paraId="4586D515">
            <w:pPr>
              <w:adjustRightInd/>
              <w:snapToGrid/>
              <w:spacing w:after="0"/>
              <w:rPr>
                <w:rFonts w:hint="eastAsia" w:ascii="仿宋" w:hAnsi="仿宋" w:eastAsia="仿宋" w:cs="仿宋"/>
                <w:b/>
                <w:bCs/>
                <w:sz w:val="16"/>
                <w:szCs w:val="16"/>
              </w:rPr>
            </w:pPr>
          </w:p>
        </w:tc>
      </w:tr>
      <w:tr w14:paraId="193EEFE9">
        <w:tblPrEx>
          <w:tblCellMar>
            <w:top w:w="0" w:type="dxa"/>
            <w:left w:w="108" w:type="dxa"/>
            <w:bottom w:w="0" w:type="dxa"/>
            <w:right w:w="108" w:type="dxa"/>
          </w:tblCellMar>
        </w:tblPrEx>
        <w:trPr>
          <w:trHeight w:val="480" w:hRule="atLeast"/>
        </w:trPr>
        <w:tc>
          <w:tcPr>
            <w:tcW w:w="360" w:type="pct"/>
            <w:tcBorders>
              <w:top w:val="nil"/>
              <w:left w:val="single" w:color="auto" w:sz="4" w:space="0"/>
              <w:bottom w:val="nil"/>
              <w:right w:val="single" w:color="auto" w:sz="4" w:space="0"/>
            </w:tcBorders>
            <w:shd w:val="clear" w:color="auto" w:fill="auto"/>
            <w:vAlign w:val="center"/>
          </w:tcPr>
          <w:p w14:paraId="5CA504D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1770" w:type="pct"/>
            <w:tcBorders>
              <w:top w:val="nil"/>
              <w:left w:val="nil"/>
              <w:bottom w:val="single" w:color="auto" w:sz="4" w:space="0"/>
              <w:right w:val="single" w:color="auto" w:sz="4" w:space="0"/>
            </w:tcBorders>
            <w:shd w:val="clear" w:color="auto" w:fill="auto"/>
            <w:vAlign w:val="center"/>
          </w:tcPr>
          <w:p w14:paraId="17C4E14E">
            <w:pPr>
              <w:adjustRightInd/>
              <w:snapToGrid/>
              <w:spacing w:after="0"/>
              <w:rPr>
                <w:rFonts w:hint="eastAsia" w:ascii="仿宋" w:hAnsi="仿宋" w:eastAsia="仿宋" w:cs="仿宋"/>
                <w:sz w:val="18"/>
                <w:szCs w:val="18"/>
              </w:rPr>
            </w:pPr>
            <w:r>
              <w:rPr>
                <w:rFonts w:hint="eastAsia" w:ascii="仿宋" w:hAnsi="仿宋" w:eastAsia="仿宋" w:cs="仿宋"/>
                <w:sz w:val="18"/>
                <w:szCs w:val="18"/>
              </w:rPr>
              <w:t>3 电缆头</w:t>
            </w:r>
          </w:p>
        </w:tc>
        <w:tc>
          <w:tcPr>
            <w:tcW w:w="437" w:type="pct"/>
            <w:tcBorders>
              <w:top w:val="nil"/>
              <w:left w:val="nil"/>
              <w:bottom w:val="single" w:color="auto" w:sz="4" w:space="0"/>
              <w:right w:val="single" w:color="auto" w:sz="4" w:space="0"/>
            </w:tcBorders>
            <w:shd w:val="clear" w:color="auto" w:fill="auto"/>
            <w:vAlign w:val="center"/>
          </w:tcPr>
          <w:p w14:paraId="1253264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643" w:type="pct"/>
            <w:tcBorders>
              <w:top w:val="nil"/>
              <w:left w:val="nil"/>
              <w:bottom w:val="single" w:color="auto" w:sz="4" w:space="0"/>
              <w:right w:val="single" w:color="auto" w:sz="4" w:space="0"/>
            </w:tcBorders>
            <w:shd w:val="clear" w:color="auto" w:fill="auto"/>
            <w:noWrap/>
            <w:vAlign w:val="center"/>
          </w:tcPr>
          <w:p w14:paraId="0934B58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892" w:type="pct"/>
            <w:tcBorders>
              <w:top w:val="nil"/>
              <w:left w:val="nil"/>
              <w:bottom w:val="single" w:color="auto" w:sz="4" w:space="0"/>
              <w:right w:val="single" w:color="auto" w:sz="4" w:space="0"/>
            </w:tcBorders>
            <w:shd w:val="clear" w:color="auto" w:fill="auto"/>
            <w:noWrap/>
            <w:vAlign w:val="center"/>
          </w:tcPr>
          <w:p w14:paraId="793E5D9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894" w:type="pct"/>
            <w:tcBorders>
              <w:top w:val="nil"/>
              <w:left w:val="nil"/>
              <w:bottom w:val="single" w:color="auto" w:sz="4" w:space="0"/>
              <w:right w:val="single" w:color="auto" w:sz="4" w:space="0"/>
            </w:tcBorders>
            <w:shd w:val="clear" w:color="auto" w:fill="auto"/>
            <w:noWrap/>
            <w:vAlign w:val="center"/>
          </w:tcPr>
          <w:p w14:paraId="76A4122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r>
      <w:tr w14:paraId="0D0112F2">
        <w:tblPrEx>
          <w:tblCellMar>
            <w:top w:w="0" w:type="dxa"/>
            <w:left w:w="108" w:type="dxa"/>
            <w:bottom w:w="0" w:type="dxa"/>
            <w:right w:w="108" w:type="dxa"/>
          </w:tblCellMar>
        </w:tblPrEx>
        <w:trPr>
          <w:trHeight w:val="960" w:hRule="atLeast"/>
        </w:trPr>
        <w:tc>
          <w:tcPr>
            <w:tcW w:w="360" w:type="pct"/>
            <w:tcBorders>
              <w:top w:val="single" w:color="auto" w:sz="4" w:space="0"/>
              <w:left w:val="single" w:color="auto" w:sz="4" w:space="0"/>
              <w:bottom w:val="nil"/>
              <w:right w:val="single" w:color="auto" w:sz="4" w:space="0"/>
            </w:tcBorders>
            <w:shd w:val="clear" w:color="auto" w:fill="auto"/>
            <w:vAlign w:val="center"/>
          </w:tcPr>
          <w:p w14:paraId="3833745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w:t>
            </w:r>
          </w:p>
        </w:tc>
        <w:tc>
          <w:tcPr>
            <w:tcW w:w="1770" w:type="pct"/>
            <w:tcBorders>
              <w:top w:val="nil"/>
              <w:left w:val="nil"/>
              <w:bottom w:val="single" w:color="auto" w:sz="4" w:space="0"/>
              <w:right w:val="single" w:color="auto" w:sz="4" w:space="0"/>
            </w:tcBorders>
            <w:shd w:val="clear" w:color="auto" w:fill="auto"/>
            <w:vAlign w:val="center"/>
          </w:tcPr>
          <w:p w14:paraId="2D6CA63F">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电缆终端户外</w:t>
            </w:r>
            <w:r>
              <w:rPr>
                <w:rFonts w:hint="eastAsia" w:ascii="仿宋" w:hAnsi="仿宋" w:eastAsia="仿宋" w:cs="仿宋"/>
                <w:sz w:val="18"/>
                <w:szCs w:val="18"/>
              </w:rPr>
              <w:br w:type="textWrapping"/>
            </w:r>
            <w:r>
              <w:rPr>
                <w:rFonts w:hint="eastAsia" w:ascii="仿宋" w:hAnsi="仿宋" w:eastAsia="仿宋" w:cs="仿宋"/>
                <w:sz w:val="18"/>
                <w:szCs w:val="18"/>
              </w:rPr>
              <w:t>1.电压等级:110Kv</w:t>
            </w:r>
            <w:r>
              <w:rPr>
                <w:rFonts w:hint="eastAsia" w:ascii="仿宋" w:hAnsi="仿宋" w:eastAsia="仿宋" w:cs="仿宋"/>
                <w:sz w:val="18"/>
                <w:szCs w:val="18"/>
              </w:rPr>
              <w:br w:type="textWrapping"/>
            </w:r>
            <w:r>
              <w:rPr>
                <w:rFonts w:hint="eastAsia" w:ascii="仿宋" w:hAnsi="仿宋" w:eastAsia="仿宋" w:cs="仿宋"/>
                <w:sz w:val="18"/>
                <w:szCs w:val="18"/>
              </w:rPr>
              <w:t>2.规格:630mm2</w:t>
            </w:r>
          </w:p>
        </w:tc>
        <w:tc>
          <w:tcPr>
            <w:tcW w:w="437" w:type="pct"/>
            <w:tcBorders>
              <w:top w:val="nil"/>
              <w:left w:val="nil"/>
              <w:bottom w:val="single" w:color="auto" w:sz="4" w:space="0"/>
              <w:right w:val="single" w:color="auto" w:sz="4" w:space="0"/>
            </w:tcBorders>
            <w:shd w:val="clear" w:color="auto" w:fill="auto"/>
            <w:vAlign w:val="center"/>
          </w:tcPr>
          <w:p w14:paraId="6FC294D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套/三相</w:t>
            </w:r>
          </w:p>
        </w:tc>
        <w:tc>
          <w:tcPr>
            <w:tcW w:w="643" w:type="pct"/>
            <w:tcBorders>
              <w:top w:val="nil"/>
              <w:left w:val="nil"/>
              <w:bottom w:val="single" w:color="auto" w:sz="4" w:space="0"/>
              <w:right w:val="single" w:color="auto" w:sz="4" w:space="0"/>
            </w:tcBorders>
            <w:shd w:val="clear" w:color="auto" w:fill="auto"/>
            <w:noWrap/>
            <w:vAlign w:val="center"/>
          </w:tcPr>
          <w:p w14:paraId="3280B24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3.00</w:t>
            </w:r>
          </w:p>
        </w:tc>
        <w:tc>
          <w:tcPr>
            <w:tcW w:w="892" w:type="pct"/>
            <w:tcBorders>
              <w:top w:val="nil"/>
              <w:left w:val="nil"/>
              <w:bottom w:val="single" w:color="auto" w:sz="4" w:space="0"/>
              <w:right w:val="single" w:color="auto" w:sz="4" w:space="0"/>
            </w:tcBorders>
            <w:shd w:val="clear" w:color="auto" w:fill="auto"/>
            <w:noWrap/>
            <w:vAlign w:val="center"/>
          </w:tcPr>
          <w:p w14:paraId="0AAC1D6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13415.56 </w:t>
            </w:r>
          </w:p>
        </w:tc>
        <w:tc>
          <w:tcPr>
            <w:tcW w:w="894" w:type="pct"/>
            <w:tcBorders>
              <w:top w:val="nil"/>
              <w:left w:val="nil"/>
              <w:bottom w:val="single" w:color="auto" w:sz="4" w:space="0"/>
              <w:right w:val="single" w:color="auto" w:sz="4" w:space="0"/>
            </w:tcBorders>
            <w:shd w:val="clear" w:color="auto" w:fill="auto"/>
            <w:noWrap/>
            <w:vAlign w:val="center"/>
          </w:tcPr>
          <w:p w14:paraId="79D96F7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40246.68 </w:t>
            </w:r>
          </w:p>
        </w:tc>
      </w:tr>
      <w:tr w14:paraId="68B16A0A">
        <w:tblPrEx>
          <w:tblCellMar>
            <w:top w:w="0" w:type="dxa"/>
            <w:left w:w="108" w:type="dxa"/>
            <w:bottom w:w="0" w:type="dxa"/>
            <w:right w:w="108" w:type="dxa"/>
          </w:tblCellMar>
        </w:tblPrEx>
        <w:trPr>
          <w:trHeight w:val="960" w:hRule="atLeast"/>
        </w:trPr>
        <w:tc>
          <w:tcPr>
            <w:tcW w:w="360" w:type="pct"/>
            <w:tcBorders>
              <w:top w:val="single" w:color="auto" w:sz="4" w:space="0"/>
              <w:left w:val="single" w:color="auto" w:sz="4" w:space="0"/>
              <w:bottom w:val="nil"/>
              <w:right w:val="single" w:color="auto" w:sz="4" w:space="0"/>
            </w:tcBorders>
            <w:shd w:val="clear" w:color="auto" w:fill="auto"/>
            <w:vAlign w:val="center"/>
          </w:tcPr>
          <w:p w14:paraId="0A0386D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w:t>
            </w:r>
          </w:p>
        </w:tc>
        <w:tc>
          <w:tcPr>
            <w:tcW w:w="1770" w:type="pct"/>
            <w:tcBorders>
              <w:top w:val="nil"/>
              <w:left w:val="nil"/>
              <w:bottom w:val="single" w:color="auto" w:sz="4" w:space="0"/>
              <w:right w:val="single" w:color="auto" w:sz="4" w:space="0"/>
            </w:tcBorders>
            <w:shd w:val="clear" w:color="auto" w:fill="auto"/>
            <w:vAlign w:val="center"/>
          </w:tcPr>
          <w:p w14:paraId="5F6EF0CC">
            <w:pPr>
              <w:adjustRightInd/>
              <w:snapToGrid/>
              <w:spacing w:after="0"/>
              <w:rPr>
                <w:rFonts w:hint="eastAsia" w:ascii="仿宋" w:hAnsi="仿宋" w:eastAsia="仿宋" w:cs="仿宋"/>
                <w:sz w:val="18"/>
                <w:szCs w:val="18"/>
              </w:rPr>
            </w:pPr>
            <w:r>
              <w:rPr>
                <w:rFonts w:hint="eastAsia" w:ascii="仿宋" w:hAnsi="仿宋" w:eastAsia="仿宋" w:cs="仿宋"/>
                <w:sz w:val="18"/>
                <w:szCs w:val="18"/>
              </w:rPr>
              <w:t>中间接头</w:t>
            </w:r>
            <w:r>
              <w:rPr>
                <w:rFonts w:hint="eastAsia" w:ascii="仿宋" w:hAnsi="仿宋" w:eastAsia="仿宋" w:cs="仿宋"/>
                <w:sz w:val="18"/>
                <w:szCs w:val="18"/>
              </w:rPr>
              <w:br w:type="textWrapping"/>
            </w:r>
            <w:r>
              <w:rPr>
                <w:rFonts w:hint="eastAsia" w:ascii="仿宋" w:hAnsi="仿宋" w:eastAsia="仿宋" w:cs="仿宋"/>
                <w:sz w:val="18"/>
                <w:szCs w:val="18"/>
              </w:rPr>
              <w:t>1.电压等级:110kV</w:t>
            </w:r>
            <w:r>
              <w:rPr>
                <w:rFonts w:hint="eastAsia" w:ascii="仿宋" w:hAnsi="仿宋" w:eastAsia="仿宋" w:cs="仿宋"/>
                <w:sz w:val="18"/>
                <w:szCs w:val="18"/>
              </w:rPr>
              <w:br w:type="textWrapping"/>
            </w:r>
            <w:r>
              <w:rPr>
                <w:rFonts w:hint="eastAsia" w:ascii="仿宋" w:hAnsi="仿宋" w:eastAsia="仿宋" w:cs="仿宋"/>
                <w:sz w:val="18"/>
                <w:szCs w:val="18"/>
              </w:rPr>
              <w:t>2.规格:630mm2 绕包式</w:t>
            </w:r>
          </w:p>
        </w:tc>
        <w:tc>
          <w:tcPr>
            <w:tcW w:w="437" w:type="pct"/>
            <w:tcBorders>
              <w:top w:val="nil"/>
              <w:left w:val="nil"/>
              <w:bottom w:val="single" w:color="auto" w:sz="4" w:space="0"/>
              <w:right w:val="single" w:color="auto" w:sz="4" w:space="0"/>
            </w:tcBorders>
            <w:shd w:val="clear" w:color="auto" w:fill="auto"/>
            <w:vAlign w:val="center"/>
          </w:tcPr>
          <w:p w14:paraId="199F650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套/三相</w:t>
            </w:r>
          </w:p>
        </w:tc>
        <w:tc>
          <w:tcPr>
            <w:tcW w:w="643" w:type="pct"/>
            <w:tcBorders>
              <w:top w:val="nil"/>
              <w:left w:val="nil"/>
              <w:bottom w:val="single" w:color="auto" w:sz="4" w:space="0"/>
              <w:right w:val="single" w:color="auto" w:sz="4" w:space="0"/>
            </w:tcBorders>
            <w:shd w:val="clear" w:color="auto" w:fill="auto"/>
            <w:noWrap/>
            <w:vAlign w:val="center"/>
          </w:tcPr>
          <w:p w14:paraId="4C96033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28.00</w:t>
            </w:r>
          </w:p>
        </w:tc>
        <w:tc>
          <w:tcPr>
            <w:tcW w:w="892" w:type="pct"/>
            <w:tcBorders>
              <w:top w:val="nil"/>
              <w:left w:val="nil"/>
              <w:bottom w:val="single" w:color="auto" w:sz="4" w:space="0"/>
              <w:right w:val="single" w:color="auto" w:sz="4" w:space="0"/>
            </w:tcBorders>
            <w:shd w:val="clear" w:color="auto" w:fill="auto"/>
            <w:noWrap/>
            <w:vAlign w:val="center"/>
          </w:tcPr>
          <w:p w14:paraId="4C5CC13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9506.08 </w:t>
            </w:r>
          </w:p>
        </w:tc>
        <w:tc>
          <w:tcPr>
            <w:tcW w:w="894" w:type="pct"/>
            <w:tcBorders>
              <w:top w:val="nil"/>
              <w:left w:val="nil"/>
              <w:bottom w:val="single" w:color="auto" w:sz="4" w:space="0"/>
              <w:right w:val="single" w:color="auto" w:sz="4" w:space="0"/>
            </w:tcBorders>
            <w:shd w:val="clear" w:color="auto" w:fill="auto"/>
            <w:noWrap/>
            <w:vAlign w:val="center"/>
          </w:tcPr>
          <w:p w14:paraId="45ED994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266170.24 </w:t>
            </w:r>
          </w:p>
        </w:tc>
      </w:tr>
      <w:tr w14:paraId="6DBED748">
        <w:tblPrEx>
          <w:tblCellMar>
            <w:top w:w="0" w:type="dxa"/>
            <w:left w:w="108" w:type="dxa"/>
            <w:bottom w:w="0" w:type="dxa"/>
            <w:right w:w="108" w:type="dxa"/>
          </w:tblCellMar>
        </w:tblPrEx>
        <w:trPr>
          <w:trHeight w:val="480" w:hRule="atLeast"/>
        </w:trPr>
        <w:tc>
          <w:tcPr>
            <w:tcW w:w="360" w:type="pct"/>
            <w:tcBorders>
              <w:top w:val="single" w:color="auto" w:sz="4" w:space="0"/>
              <w:left w:val="single" w:color="auto" w:sz="4" w:space="0"/>
              <w:bottom w:val="nil"/>
              <w:right w:val="single" w:color="auto" w:sz="4" w:space="0"/>
            </w:tcBorders>
            <w:shd w:val="clear" w:color="auto" w:fill="auto"/>
            <w:vAlign w:val="center"/>
          </w:tcPr>
          <w:p w14:paraId="022E22E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1770" w:type="pct"/>
            <w:tcBorders>
              <w:top w:val="nil"/>
              <w:left w:val="nil"/>
              <w:bottom w:val="single" w:color="auto" w:sz="4" w:space="0"/>
              <w:right w:val="single" w:color="auto" w:sz="4" w:space="0"/>
            </w:tcBorders>
            <w:shd w:val="clear" w:color="auto" w:fill="auto"/>
            <w:vAlign w:val="center"/>
          </w:tcPr>
          <w:p w14:paraId="3CC4BA47">
            <w:pPr>
              <w:adjustRightInd/>
              <w:snapToGrid/>
              <w:spacing w:after="0"/>
              <w:rPr>
                <w:rFonts w:hint="eastAsia" w:ascii="仿宋" w:hAnsi="仿宋" w:eastAsia="仿宋" w:cs="仿宋"/>
                <w:sz w:val="18"/>
                <w:szCs w:val="18"/>
              </w:rPr>
            </w:pPr>
            <w:r>
              <w:rPr>
                <w:rFonts w:hint="eastAsia" w:ascii="仿宋" w:hAnsi="仿宋" w:eastAsia="仿宋" w:cs="仿宋"/>
                <w:sz w:val="18"/>
                <w:szCs w:val="18"/>
              </w:rPr>
              <w:t>6 调试及试验</w:t>
            </w:r>
          </w:p>
        </w:tc>
        <w:tc>
          <w:tcPr>
            <w:tcW w:w="437" w:type="pct"/>
            <w:tcBorders>
              <w:top w:val="nil"/>
              <w:left w:val="nil"/>
              <w:bottom w:val="single" w:color="auto" w:sz="4" w:space="0"/>
              <w:right w:val="single" w:color="auto" w:sz="4" w:space="0"/>
            </w:tcBorders>
            <w:shd w:val="clear" w:color="auto" w:fill="auto"/>
            <w:vAlign w:val="center"/>
          </w:tcPr>
          <w:p w14:paraId="2F1C179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643" w:type="pct"/>
            <w:tcBorders>
              <w:top w:val="nil"/>
              <w:left w:val="nil"/>
              <w:bottom w:val="single" w:color="auto" w:sz="4" w:space="0"/>
              <w:right w:val="single" w:color="auto" w:sz="4" w:space="0"/>
            </w:tcBorders>
            <w:shd w:val="clear" w:color="auto" w:fill="auto"/>
            <w:noWrap/>
            <w:vAlign w:val="center"/>
          </w:tcPr>
          <w:p w14:paraId="6DAF1F4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892" w:type="pct"/>
            <w:tcBorders>
              <w:top w:val="nil"/>
              <w:left w:val="nil"/>
              <w:bottom w:val="single" w:color="auto" w:sz="4" w:space="0"/>
              <w:right w:val="single" w:color="auto" w:sz="4" w:space="0"/>
            </w:tcBorders>
            <w:shd w:val="clear" w:color="auto" w:fill="auto"/>
            <w:noWrap/>
            <w:vAlign w:val="center"/>
          </w:tcPr>
          <w:p w14:paraId="192417C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894" w:type="pct"/>
            <w:tcBorders>
              <w:top w:val="nil"/>
              <w:left w:val="nil"/>
              <w:bottom w:val="single" w:color="auto" w:sz="4" w:space="0"/>
              <w:right w:val="single" w:color="auto" w:sz="4" w:space="0"/>
            </w:tcBorders>
            <w:shd w:val="clear" w:color="auto" w:fill="auto"/>
            <w:noWrap/>
            <w:vAlign w:val="center"/>
          </w:tcPr>
          <w:p w14:paraId="6CC420E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r>
      <w:tr w14:paraId="182277D5">
        <w:tblPrEx>
          <w:tblCellMar>
            <w:top w:w="0" w:type="dxa"/>
            <w:left w:w="108" w:type="dxa"/>
            <w:bottom w:w="0" w:type="dxa"/>
            <w:right w:w="108" w:type="dxa"/>
          </w:tblCellMar>
        </w:tblPrEx>
        <w:trPr>
          <w:trHeight w:val="1440" w:hRule="atLeast"/>
        </w:trPr>
        <w:tc>
          <w:tcPr>
            <w:tcW w:w="360" w:type="pct"/>
            <w:tcBorders>
              <w:top w:val="single" w:color="auto" w:sz="4" w:space="0"/>
              <w:left w:val="single" w:color="auto" w:sz="4" w:space="0"/>
              <w:bottom w:val="nil"/>
              <w:right w:val="single" w:color="auto" w:sz="4" w:space="0"/>
            </w:tcBorders>
            <w:shd w:val="clear" w:color="auto" w:fill="auto"/>
            <w:vAlign w:val="center"/>
          </w:tcPr>
          <w:p w14:paraId="46C262F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w:t>
            </w:r>
          </w:p>
        </w:tc>
        <w:tc>
          <w:tcPr>
            <w:tcW w:w="1770" w:type="pct"/>
            <w:tcBorders>
              <w:top w:val="nil"/>
              <w:left w:val="nil"/>
              <w:bottom w:val="single" w:color="auto" w:sz="4" w:space="0"/>
              <w:right w:val="single" w:color="auto" w:sz="4" w:space="0"/>
            </w:tcBorders>
            <w:shd w:val="clear" w:color="auto" w:fill="auto"/>
            <w:vAlign w:val="center"/>
          </w:tcPr>
          <w:p w14:paraId="4CF9947C">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电缆护层试验</w:t>
            </w:r>
            <w:r>
              <w:rPr>
                <w:rFonts w:hint="eastAsia" w:ascii="仿宋" w:hAnsi="仿宋" w:eastAsia="仿宋" w:cs="仿宋"/>
                <w:sz w:val="18"/>
                <w:szCs w:val="18"/>
              </w:rPr>
              <w:br w:type="textWrapping"/>
            </w:r>
            <w:r>
              <w:rPr>
                <w:rFonts w:hint="eastAsia" w:ascii="仿宋" w:hAnsi="仿宋" w:eastAsia="仿宋" w:cs="仿宋"/>
                <w:sz w:val="18"/>
                <w:szCs w:val="18"/>
              </w:rPr>
              <w:t>1.电压等级:110kV</w:t>
            </w:r>
            <w:r>
              <w:rPr>
                <w:rFonts w:hint="eastAsia" w:ascii="仿宋" w:hAnsi="仿宋" w:eastAsia="仿宋" w:cs="仿宋"/>
                <w:sz w:val="18"/>
                <w:szCs w:val="18"/>
              </w:rPr>
              <w:br w:type="textWrapping"/>
            </w:r>
            <w:r>
              <w:rPr>
                <w:rFonts w:hint="eastAsia" w:ascii="仿宋" w:hAnsi="仿宋" w:eastAsia="仿宋" w:cs="仿宋"/>
                <w:sz w:val="18"/>
                <w:szCs w:val="18"/>
              </w:rPr>
              <w:t>2.试验项目:电缆保护层 交叉互联系统测试</w:t>
            </w:r>
            <w:r>
              <w:rPr>
                <w:rFonts w:hint="eastAsia" w:ascii="仿宋" w:hAnsi="仿宋" w:eastAsia="仿宋" w:cs="仿宋"/>
                <w:sz w:val="18"/>
                <w:szCs w:val="18"/>
              </w:rPr>
              <w:br w:type="textWrapping"/>
            </w:r>
            <w:r>
              <w:rPr>
                <w:rFonts w:hint="eastAsia" w:ascii="仿宋" w:hAnsi="仿宋" w:eastAsia="仿宋" w:cs="仿宋"/>
                <w:sz w:val="18"/>
                <w:szCs w:val="18"/>
              </w:rPr>
              <w:t>3.型号、规格:符合规范及设计要求</w:t>
            </w:r>
          </w:p>
        </w:tc>
        <w:tc>
          <w:tcPr>
            <w:tcW w:w="437" w:type="pct"/>
            <w:tcBorders>
              <w:top w:val="nil"/>
              <w:left w:val="nil"/>
              <w:bottom w:val="single" w:color="auto" w:sz="4" w:space="0"/>
              <w:right w:val="single" w:color="auto" w:sz="4" w:space="0"/>
            </w:tcBorders>
            <w:shd w:val="clear" w:color="auto" w:fill="auto"/>
            <w:vAlign w:val="center"/>
          </w:tcPr>
          <w:p w14:paraId="60EA4B7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互联段/三相</w:t>
            </w:r>
          </w:p>
        </w:tc>
        <w:tc>
          <w:tcPr>
            <w:tcW w:w="643" w:type="pct"/>
            <w:tcBorders>
              <w:top w:val="nil"/>
              <w:left w:val="nil"/>
              <w:bottom w:val="single" w:color="auto" w:sz="4" w:space="0"/>
              <w:right w:val="single" w:color="auto" w:sz="4" w:space="0"/>
            </w:tcBorders>
            <w:shd w:val="clear" w:color="auto" w:fill="auto"/>
            <w:noWrap/>
            <w:vAlign w:val="center"/>
          </w:tcPr>
          <w:p w14:paraId="1E1A099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892" w:type="pct"/>
            <w:tcBorders>
              <w:top w:val="nil"/>
              <w:left w:val="nil"/>
              <w:bottom w:val="single" w:color="auto" w:sz="4" w:space="0"/>
              <w:right w:val="single" w:color="auto" w:sz="4" w:space="0"/>
            </w:tcBorders>
            <w:shd w:val="clear" w:color="auto" w:fill="auto"/>
            <w:noWrap/>
            <w:vAlign w:val="center"/>
          </w:tcPr>
          <w:p w14:paraId="670F6F2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166.39 </w:t>
            </w:r>
          </w:p>
        </w:tc>
        <w:tc>
          <w:tcPr>
            <w:tcW w:w="894" w:type="pct"/>
            <w:tcBorders>
              <w:top w:val="nil"/>
              <w:left w:val="nil"/>
              <w:bottom w:val="single" w:color="auto" w:sz="4" w:space="0"/>
              <w:right w:val="single" w:color="auto" w:sz="4" w:space="0"/>
            </w:tcBorders>
            <w:shd w:val="clear" w:color="auto" w:fill="auto"/>
            <w:noWrap/>
            <w:vAlign w:val="center"/>
          </w:tcPr>
          <w:p w14:paraId="2DA64FD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332.78 </w:t>
            </w:r>
          </w:p>
        </w:tc>
      </w:tr>
      <w:tr w14:paraId="443CE9AA">
        <w:tblPrEx>
          <w:tblCellMar>
            <w:top w:w="0" w:type="dxa"/>
            <w:left w:w="108" w:type="dxa"/>
            <w:bottom w:w="0" w:type="dxa"/>
            <w:right w:w="108" w:type="dxa"/>
          </w:tblCellMar>
        </w:tblPrEx>
        <w:trPr>
          <w:trHeight w:val="1515" w:hRule="atLeast"/>
        </w:trPr>
        <w:tc>
          <w:tcPr>
            <w:tcW w:w="360" w:type="pct"/>
            <w:tcBorders>
              <w:top w:val="single" w:color="auto" w:sz="4" w:space="0"/>
              <w:left w:val="single" w:color="auto" w:sz="4" w:space="0"/>
              <w:bottom w:val="nil"/>
              <w:right w:val="single" w:color="auto" w:sz="4" w:space="0"/>
            </w:tcBorders>
            <w:shd w:val="clear" w:color="auto" w:fill="auto"/>
            <w:vAlign w:val="center"/>
          </w:tcPr>
          <w:p w14:paraId="7C6EA34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w:t>
            </w:r>
          </w:p>
        </w:tc>
        <w:tc>
          <w:tcPr>
            <w:tcW w:w="1770" w:type="pct"/>
            <w:tcBorders>
              <w:top w:val="nil"/>
              <w:left w:val="nil"/>
              <w:bottom w:val="single" w:color="auto" w:sz="4" w:space="0"/>
              <w:right w:val="single" w:color="auto" w:sz="4" w:space="0"/>
            </w:tcBorders>
            <w:shd w:val="clear" w:color="auto" w:fill="auto"/>
            <w:vAlign w:val="center"/>
          </w:tcPr>
          <w:p w14:paraId="24BD8649">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电缆护层试验</w:t>
            </w:r>
            <w:r>
              <w:rPr>
                <w:rFonts w:hint="eastAsia" w:ascii="仿宋" w:hAnsi="仿宋" w:eastAsia="仿宋" w:cs="仿宋"/>
                <w:sz w:val="18"/>
                <w:szCs w:val="18"/>
              </w:rPr>
              <w:br w:type="textWrapping"/>
            </w:r>
            <w:r>
              <w:rPr>
                <w:rFonts w:hint="eastAsia" w:ascii="仿宋" w:hAnsi="仿宋" w:eastAsia="仿宋" w:cs="仿宋"/>
                <w:sz w:val="18"/>
                <w:szCs w:val="18"/>
              </w:rPr>
              <w:t>1.电压等级:110kV</w:t>
            </w:r>
            <w:r>
              <w:rPr>
                <w:rFonts w:hint="eastAsia" w:ascii="仿宋" w:hAnsi="仿宋" w:eastAsia="仿宋" w:cs="仿宋"/>
                <w:sz w:val="18"/>
                <w:szCs w:val="18"/>
              </w:rPr>
              <w:br w:type="textWrapping"/>
            </w:r>
            <w:r>
              <w:rPr>
                <w:rFonts w:hint="eastAsia" w:ascii="仿宋" w:hAnsi="仿宋" w:eastAsia="仿宋" w:cs="仿宋"/>
                <w:sz w:val="18"/>
                <w:szCs w:val="18"/>
              </w:rPr>
              <w:t>2.试验项目:电缆保护层 遥测</w:t>
            </w:r>
            <w:r>
              <w:rPr>
                <w:rFonts w:hint="eastAsia" w:ascii="仿宋" w:hAnsi="仿宋" w:eastAsia="仿宋" w:cs="仿宋"/>
                <w:sz w:val="18"/>
                <w:szCs w:val="18"/>
              </w:rPr>
              <w:br w:type="textWrapping"/>
            </w:r>
            <w:r>
              <w:rPr>
                <w:rFonts w:hint="eastAsia" w:ascii="仿宋" w:hAnsi="仿宋" w:eastAsia="仿宋" w:cs="仿宋"/>
                <w:sz w:val="18"/>
                <w:szCs w:val="18"/>
              </w:rPr>
              <w:t>3.型号、规格:符合规范及设计要求</w:t>
            </w:r>
          </w:p>
        </w:tc>
        <w:tc>
          <w:tcPr>
            <w:tcW w:w="437" w:type="pct"/>
            <w:tcBorders>
              <w:top w:val="nil"/>
              <w:left w:val="nil"/>
              <w:bottom w:val="single" w:color="auto" w:sz="4" w:space="0"/>
              <w:right w:val="single" w:color="auto" w:sz="4" w:space="0"/>
            </w:tcBorders>
            <w:shd w:val="clear" w:color="auto" w:fill="auto"/>
            <w:vAlign w:val="center"/>
          </w:tcPr>
          <w:p w14:paraId="2E2E253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互联段/三相</w:t>
            </w:r>
          </w:p>
        </w:tc>
        <w:tc>
          <w:tcPr>
            <w:tcW w:w="643" w:type="pct"/>
            <w:tcBorders>
              <w:top w:val="nil"/>
              <w:left w:val="nil"/>
              <w:bottom w:val="single" w:color="auto" w:sz="4" w:space="0"/>
              <w:right w:val="single" w:color="auto" w:sz="4" w:space="0"/>
            </w:tcBorders>
            <w:shd w:val="clear" w:color="auto" w:fill="auto"/>
            <w:noWrap/>
            <w:vAlign w:val="center"/>
          </w:tcPr>
          <w:p w14:paraId="4EB462B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892" w:type="pct"/>
            <w:tcBorders>
              <w:top w:val="nil"/>
              <w:left w:val="nil"/>
              <w:bottom w:val="single" w:color="auto" w:sz="4" w:space="0"/>
              <w:right w:val="single" w:color="auto" w:sz="4" w:space="0"/>
            </w:tcBorders>
            <w:shd w:val="clear" w:color="auto" w:fill="auto"/>
            <w:noWrap/>
            <w:vAlign w:val="center"/>
          </w:tcPr>
          <w:p w14:paraId="1F9B620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162.24 </w:t>
            </w:r>
          </w:p>
        </w:tc>
        <w:tc>
          <w:tcPr>
            <w:tcW w:w="894" w:type="pct"/>
            <w:tcBorders>
              <w:top w:val="nil"/>
              <w:left w:val="nil"/>
              <w:bottom w:val="single" w:color="auto" w:sz="4" w:space="0"/>
              <w:right w:val="single" w:color="auto" w:sz="4" w:space="0"/>
            </w:tcBorders>
            <w:shd w:val="clear" w:color="auto" w:fill="auto"/>
            <w:noWrap/>
            <w:vAlign w:val="center"/>
          </w:tcPr>
          <w:p w14:paraId="0DC912A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324.48 </w:t>
            </w:r>
          </w:p>
        </w:tc>
      </w:tr>
      <w:tr w14:paraId="31A49CEB">
        <w:tblPrEx>
          <w:tblCellMar>
            <w:top w:w="0" w:type="dxa"/>
            <w:left w:w="108" w:type="dxa"/>
            <w:bottom w:w="0" w:type="dxa"/>
            <w:right w:w="108" w:type="dxa"/>
          </w:tblCellMar>
        </w:tblPrEx>
        <w:trPr>
          <w:trHeight w:val="1590" w:hRule="atLeast"/>
        </w:trPr>
        <w:tc>
          <w:tcPr>
            <w:tcW w:w="360" w:type="pct"/>
            <w:tcBorders>
              <w:top w:val="single" w:color="auto" w:sz="4" w:space="0"/>
              <w:left w:val="single" w:color="auto" w:sz="4" w:space="0"/>
              <w:bottom w:val="nil"/>
              <w:right w:val="single" w:color="auto" w:sz="4" w:space="0"/>
            </w:tcBorders>
            <w:shd w:val="clear" w:color="auto" w:fill="auto"/>
            <w:vAlign w:val="center"/>
          </w:tcPr>
          <w:p w14:paraId="6BACF4C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w:t>
            </w:r>
          </w:p>
        </w:tc>
        <w:tc>
          <w:tcPr>
            <w:tcW w:w="1770" w:type="pct"/>
            <w:tcBorders>
              <w:top w:val="nil"/>
              <w:left w:val="nil"/>
              <w:bottom w:val="single" w:color="auto" w:sz="4" w:space="0"/>
              <w:right w:val="single" w:color="auto" w:sz="4" w:space="0"/>
            </w:tcBorders>
            <w:shd w:val="clear" w:color="auto" w:fill="auto"/>
            <w:vAlign w:val="center"/>
          </w:tcPr>
          <w:p w14:paraId="1BC543AA">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电缆护层试验</w:t>
            </w:r>
            <w:r>
              <w:rPr>
                <w:rFonts w:hint="eastAsia" w:ascii="仿宋" w:hAnsi="仿宋" w:eastAsia="仿宋" w:cs="仿宋"/>
                <w:sz w:val="18"/>
                <w:szCs w:val="18"/>
              </w:rPr>
              <w:br w:type="textWrapping"/>
            </w:r>
            <w:r>
              <w:rPr>
                <w:rFonts w:hint="eastAsia" w:ascii="仿宋" w:hAnsi="仿宋" w:eastAsia="仿宋" w:cs="仿宋"/>
                <w:sz w:val="18"/>
                <w:szCs w:val="18"/>
              </w:rPr>
              <w:t>1.电压等级:110kV</w:t>
            </w:r>
            <w:r>
              <w:rPr>
                <w:rFonts w:hint="eastAsia" w:ascii="仿宋" w:hAnsi="仿宋" w:eastAsia="仿宋" w:cs="仿宋"/>
                <w:sz w:val="18"/>
                <w:szCs w:val="18"/>
              </w:rPr>
              <w:br w:type="textWrapping"/>
            </w:r>
            <w:r>
              <w:rPr>
                <w:rFonts w:hint="eastAsia" w:ascii="仿宋" w:hAnsi="仿宋" w:eastAsia="仿宋" w:cs="仿宋"/>
                <w:sz w:val="18"/>
                <w:szCs w:val="18"/>
              </w:rPr>
              <w:t>2.试验项目:电缆保护层 耐压试验</w:t>
            </w:r>
            <w:r>
              <w:rPr>
                <w:rFonts w:hint="eastAsia" w:ascii="仿宋" w:hAnsi="仿宋" w:eastAsia="仿宋" w:cs="仿宋"/>
                <w:sz w:val="18"/>
                <w:szCs w:val="18"/>
              </w:rPr>
              <w:br w:type="textWrapping"/>
            </w:r>
            <w:r>
              <w:rPr>
                <w:rFonts w:hint="eastAsia" w:ascii="仿宋" w:hAnsi="仿宋" w:eastAsia="仿宋" w:cs="仿宋"/>
                <w:sz w:val="18"/>
                <w:szCs w:val="18"/>
              </w:rPr>
              <w:t>3.型号、规格:符合规范及设计要求</w:t>
            </w:r>
          </w:p>
        </w:tc>
        <w:tc>
          <w:tcPr>
            <w:tcW w:w="437" w:type="pct"/>
            <w:tcBorders>
              <w:top w:val="nil"/>
              <w:left w:val="nil"/>
              <w:bottom w:val="single" w:color="auto" w:sz="4" w:space="0"/>
              <w:right w:val="single" w:color="auto" w:sz="4" w:space="0"/>
            </w:tcBorders>
            <w:shd w:val="clear" w:color="auto" w:fill="auto"/>
            <w:vAlign w:val="center"/>
          </w:tcPr>
          <w:p w14:paraId="1C76C38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互联段/三相</w:t>
            </w:r>
          </w:p>
        </w:tc>
        <w:tc>
          <w:tcPr>
            <w:tcW w:w="643" w:type="pct"/>
            <w:tcBorders>
              <w:top w:val="nil"/>
              <w:left w:val="nil"/>
              <w:bottom w:val="single" w:color="auto" w:sz="4" w:space="0"/>
              <w:right w:val="single" w:color="auto" w:sz="4" w:space="0"/>
            </w:tcBorders>
            <w:shd w:val="clear" w:color="auto" w:fill="auto"/>
            <w:noWrap/>
            <w:vAlign w:val="center"/>
          </w:tcPr>
          <w:p w14:paraId="6B8673F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892" w:type="pct"/>
            <w:tcBorders>
              <w:top w:val="nil"/>
              <w:left w:val="nil"/>
              <w:bottom w:val="single" w:color="auto" w:sz="4" w:space="0"/>
              <w:right w:val="single" w:color="auto" w:sz="4" w:space="0"/>
            </w:tcBorders>
            <w:shd w:val="clear" w:color="auto" w:fill="auto"/>
            <w:noWrap/>
            <w:vAlign w:val="center"/>
          </w:tcPr>
          <w:p w14:paraId="3C96BDF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572.10 </w:t>
            </w:r>
          </w:p>
        </w:tc>
        <w:tc>
          <w:tcPr>
            <w:tcW w:w="894" w:type="pct"/>
            <w:tcBorders>
              <w:top w:val="nil"/>
              <w:left w:val="nil"/>
              <w:bottom w:val="single" w:color="auto" w:sz="4" w:space="0"/>
              <w:right w:val="single" w:color="auto" w:sz="4" w:space="0"/>
            </w:tcBorders>
            <w:shd w:val="clear" w:color="auto" w:fill="auto"/>
            <w:noWrap/>
            <w:vAlign w:val="center"/>
          </w:tcPr>
          <w:p w14:paraId="26DC227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1144.20 </w:t>
            </w:r>
          </w:p>
        </w:tc>
      </w:tr>
      <w:tr w14:paraId="78791FD4">
        <w:tblPrEx>
          <w:tblCellMar>
            <w:top w:w="0" w:type="dxa"/>
            <w:left w:w="108" w:type="dxa"/>
            <w:bottom w:w="0" w:type="dxa"/>
            <w:right w:w="108" w:type="dxa"/>
          </w:tblCellMar>
        </w:tblPrEx>
        <w:trPr>
          <w:trHeight w:val="1590" w:hRule="atLeast"/>
        </w:trPr>
        <w:tc>
          <w:tcPr>
            <w:tcW w:w="360" w:type="pct"/>
            <w:tcBorders>
              <w:top w:val="single" w:color="auto" w:sz="4" w:space="0"/>
              <w:left w:val="single" w:color="auto" w:sz="4" w:space="0"/>
              <w:bottom w:val="nil"/>
              <w:right w:val="single" w:color="auto" w:sz="4" w:space="0"/>
            </w:tcBorders>
            <w:shd w:val="clear" w:color="auto" w:fill="auto"/>
            <w:vAlign w:val="center"/>
          </w:tcPr>
          <w:p w14:paraId="4277053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w:t>
            </w:r>
          </w:p>
        </w:tc>
        <w:tc>
          <w:tcPr>
            <w:tcW w:w="1770" w:type="pct"/>
            <w:tcBorders>
              <w:top w:val="nil"/>
              <w:left w:val="nil"/>
              <w:bottom w:val="single" w:color="auto" w:sz="4" w:space="0"/>
              <w:right w:val="single" w:color="auto" w:sz="4" w:space="0"/>
            </w:tcBorders>
            <w:shd w:val="clear" w:color="auto" w:fill="auto"/>
            <w:vAlign w:val="center"/>
          </w:tcPr>
          <w:p w14:paraId="6553A5EC">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电缆主绝缘试验</w:t>
            </w:r>
            <w:r>
              <w:rPr>
                <w:rFonts w:hint="eastAsia" w:ascii="仿宋" w:hAnsi="仿宋" w:eastAsia="仿宋" w:cs="仿宋"/>
                <w:sz w:val="18"/>
                <w:szCs w:val="18"/>
              </w:rPr>
              <w:br w:type="textWrapping"/>
            </w:r>
            <w:r>
              <w:rPr>
                <w:rFonts w:hint="eastAsia" w:ascii="仿宋" w:hAnsi="仿宋" w:eastAsia="仿宋" w:cs="仿宋"/>
                <w:sz w:val="18"/>
                <w:szCs w:val="18"/>
              </w:rPr>
              <w:t>1.电压等级:110kV</w:t>
            </w:r>
            <w:r>
              <w:rPr>
                <w:rFonts w:hint="eastAsia" w:ascii="仿宋" w:hAnsi="仿宋" w:eastAsia="仿宋" w:cs="仿宋"/>
                <w:sz w:val="18"/>
                <w:szCs w:val="18"/>
              </w:rPr>
              <w:br w:type="textWrapping"/>
            </w:r>
            <w:r>
              <w:rPr>
                <w:rFonts w:hint="eastAsia" w:ascii="仿宋" w:hAnsi="仿宋" w:eastAsia="仿宋" w:cs="仿宋"/>
                <w:sz w:val="18"/>
                <w:szCs w:val="18"/>
              </w:rPr>
              <w:t>2.试验项目:主绝缘交流耐压试验</w:t>
            </w:r>
            <w:r>
              <w:rPr>
                <w:rFonts w:hint="eastAsia" w:ascii="仿宋" w:hAnsi="仿宋" w:eastAsia="仿宋" w:cs="仿宋"/>
                <w:sz w:val="18"/>
                <w:szCs w:val="18"/>
              </w:rPr>
              <w:br w:type="textWrapping"/>
            </w:r>
            <w:r>
              <w:rPr>
                <w:rFonts w:hint="eastAsia" w:ascii="仿宋" w:hAnsi="仿宋" w:eastAsia="仿宋" w:cs="仿宋"/>
                <w:sz w:val="18"/>
                <w:szCs w:val="18"/>
              </w:rPr>
              <w:t>3.型号、规格:符合规范及设计要求</w:t>
            </w:r>
            <w:r>
              <w:rPr>
                <w:rFonts w:hint="eastAsia" w:ascii="仿宋" w:hAnsi="仿宋" w:eastAsia="仿宋" w:cs="仿宋"/>
                <w:sz w:val="18"/>
                <w:szCs w:val="18"/>
              </w:rPr>
              <w:br w:type="textWrapping"/>
            </w:r>
            <w:r>
              <w:rPr>
                <w:rFonts w:hint="eastAsia" w:ascii="仿宋" w:hAnsi="仿宋" w:eastAsia="仿宋" w:cs="仿宋"/>
                <w:sz w:val="18"/>
                <w:szCs w:val="18"/>
              </w:rPr>
              <w:t>4.线路长度:10km以内</w:t>
            </w:r>
          </w:p>
        </w:tc>
        <w:tc>
          <w:tcPr>
            <w:tcW w:w="437" w:type="pct"/>
            <w:tcBorders>
              <w:top w:val="nil"/>
              <w:left w:val="nil"/>
              <w:bottom w:val="single" w:color="auto" w:sz="4" w:space="0"/>
              <w:right w:val="single" w:color="auto" w:sz="4" w:space="0"/>
            </w:tcBorders>
            <w:shd w:val="clear" w:color="auto" w:fill="auto"/>
            <w:vAlign w:val="center"/>
          </w:tcPr>
          <w:p w14:paraId="7EF5E52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回路</w:t>
            </w:r>
          </w:p>
        </w:tc>
        <w:tc>
          <w:tcPr>
            <w:tcW w:w="643" w:type="pct"/>
            <w:tcBorders>
              <w:top w:val="nil"/>
              <w:left w:val="nil"/>
              <w:bottom w:val="single" w:color="auto" w:sz="4" w:space="0"/>
              <w:right w:val="single" w:color="auto" w:sz="4" w:space="0"/>
            </w:tcBorders>
            <w:shd w:val="clear" w:color="auto" w:fill="auto"/>
            <w:noWrap/>
            <w:vAlign w:val="center"/>
          </w:tcPr>
          <w:p w14:paraId="74647D9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892" w:type="pct"/>
            <w:tcBorders>
              <w:top w:val="nil"/>
              <w:left w:val="nil"/>
              <w:bottom w:val="single" w:color="auto" w:sz="4" w:space="0"/>
              <w:right w:val="single" w:color="auto" w:sz="4" w:space="0"/>
            </w:tcBorders>
            <w:shd w:val="clear" w:color="auto" w:fill="auto"/>
            <w:noWrap/>
            <w:vAlign w:val="center"/>
          </w:tcPr>
          <w:p w14:paraId="2F8C123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62136.11 </w:t>
            </w:r>
          </w:p>
        </w:tc>
        <w:tc>
          <w:tcPr>
            <w:tcW w:w="894" w:type="pct"/>
            <w:tcBorders>
              <w:top w:val="nil"/>
              <w:left w:val="nil"/>
              <w:bottom w:val="single" w:color="auto" w:sz="4" w:space="0"/>
              <w:right w:val="single" w:color="auto" w:sz="4" w:space="0"/>
            </w:tcBorders>
            <w:shd w:val="clear" w:color="auto" w:fill="auto"/>
            <w:noWrap/>
            <w:vAlign w:val="center"/>
          </w:tcPr>
          <w:p w14:paraId="3E0542F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124272.22 </w:t>
            </w:r>
          </w:p>
        </w:tc>
      </w:tr>
      <w:tr w14:paraId="45CBCCC3">
        <w:tblPrEx>
          <w:tblCellMar>
            <w:top w:w="0" w:type="dxa"/>
            <w:left w:w="108" w:type="dxa"/>
            <w:bottom w:w="0" w:type="dxa"/>
            <w:right w:w="108" w:type="dxa"/>
          </w:tblCellMar>
        </w:tblPrEx>
        <w:trPr>
          <w:trHeight w:val="1335" w:hRule="atLeast"/>
        </w:trPr>
        <w:tc>
          <w:tcPr>
            <w:tcW w:w="360" w:type="pct"/>
            <w:tcBorders>
              <w:top w:val="single" w:color="auto" w:sz="4" w:space="0"/>
              <w:left w:val="single" w:color="auto" w:sz="4" w:space="0"/>
              <w:bottom w:val="nil"/>
              <w:right w:val="single" w:color="auto" w:sz="4" w:space="0"/>
            </w:tcBorders>
            <w:shd w:val="clear" w:color="auto" w:fill="auto"/>
            <w:vAlign w:val="center"/>
          </w:tcPr>
          <w:p w14:paraId="6665718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w:t>
            </w:r>
          </w:p>
        </w:tc>
        <w:tc>
          <w:tcPr>
            <w:tcW w:w="1770" w:type="pct"/>
            <w:tcBorders>
              <w:top w:val="nil"/>
              <w:left w:val="nil"/>
              <w:bottom w:val="single" w:color="auto" w:sz="4" w:space="0"/>
              <w:right w:val="single" w:color="auto" w:sz="4" w:space="0"/>
            </w:tcBorders>
            <w:shd w:val="clear" w:color="auto" w:fill="auto"/>
            <w:vAlign w:val="center"/>
          </w:tcPr>
          <w:p w14:paraId="685A67D2">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电缆参数试验</w:t>
            </w:r>
            <w:r>
              <w:rPr>
                <w:rFonts w:hint="eastAsia" w:ascii="仿宋" w:hAnsi="仿宋" w:eastAsia="仿宋" w:cs="仿宋"/>
                <w:sz w:val="18"/>
                <w:szCs w:val="18"/>
              </w:rPr>
              <w:br w:type="textWrapping"/>
            </w:r>
            <w:r>
              <w:rPr>
                <w:rFonts w:hint="eastAsia" w:ascii="仿宋" w:hAnsi="仿宋" w:eastAsia="仿宋" w:cs="仿宋"/>
                <w:sz w:val="18"/>
                <w:szCs w:val="18"/>
              </w:rPr>
              <w:t>1.电压等级:110kV</w:t>
            </w:r>
            <w:r>
              <w:rPr>
                <w:rFonts w:hint="eastAsia" w:ascii="仿宋" w:hAnsi="仿宋" w:eastAsia="仿宋" w:cs="仿宋"/>
                <w:sz w:val="18"/>
                <w:szCs w:val="18"/>
              </w:rPr>
              <w:br w:type="textWrapping"/>
            </w:r>
            <w:r>
              <w:rPr>
                <w:rFonts w:hint="eastAsia" w:ascii="仿宋" w:hAnsi="仿宋" w:eastAsia="仿宋" w:cs="仿宋"/>
                <w:sz w:val="18"/>
                <w:szCs w:val="18"/>
              </w:rPr>
              <w:t>2.试验项目:电缆参数测量</w:t>
            </w:r>
            <w:r>
              <w:rPr>
                <w:rFonts w:hint="eastAsia" w:ascii="仿宋" w:hAnsi="仿宋" w:eastAsia="仿宋" w:cs="仿宋"/>
                <w:sz w:val="18"/>
                <w:szCs w:val="18"/>
              </w:rPr>
              <w:br w:type="textWrapping"/>
            </w:r>
            <w:r>
              <w:rPr>
                <w:rFonts w:hint="eastAsia" w:ascii="仿宋" w:hAnsi="仿宋" w:eastAsia="仿宋" w:cs="仿宋"/>
                <w:sz w:val="18"/>
                <w:szCs w:val="18"/>
              </w:rPr>
              <w:t>3.型号、规格:符合规范及设计要求</w:t>
            </w:r>
          </w:p>
        </w:tc>
        <w:tc>
          <w:tcPr>
            <w:tcW w:w="437" w:type="pct"/>
            <w:tcBorders>
              <w:top w:val="nil"/>
              <w:left w:val="nil"/>
              <w:bottom w:val="single" w:color="auto" w:sz="4" w:space="0"/>
              <w:right w:val="single" w:color="auto" w:sz="4" w:space="0"/>
            </w:tcBorders>
            <w:shd w:val="clear" w:color="auto" w:fill="auto"/>
            <w:vAlign w:val="center"/>
          </w:tcPr>
          <w:p w14:paraId="19BB525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回路</w:t>
            </w:r>
          </w:p>
        </w:tc>
        <w:tc>
          <w:tcPr>
            <w:tcW w:w="643" w:type="pct"/>
            <w:tcBorders>
              <w:top w:val="nil"/>
              <w:left w:val="nil"/>
              <w:bottom w:val="single" w:color="auto" w:sz="4" w:space="0"/>
              <w:right w:val="single" w:color="auto" w:sz="4" w:space="0"/>
            </w:tcBorders>
            <w:shd w:val="clear" w:color="auto" w:fill="auto"/>
            <w:noWrap/>
            <w:vAlign w:val="center"/>
          </w:tcPr>
          <w:p w14:paraId="0989A87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892" w:type="pct"/>
            <w:tcBorders>
              <w:top w:val="nil"/>
              <w:left w:val="nil"/>
              <w:bottom w:val="single" w:color="auto" w:sz="4" w:space="0"/>
              <w:right w:val="single" w:color="auto" w:sz="4" w:space="0"/>
            </w:tcBorders>
            <w:shd w:val="clear" w:color="auto" w:fill="auto"/>
            <w:noWrap/>
            <w:vAlign w:val="center"/>
          </w:tcPr>
          <w:p w14:paraId="076457B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4078.18 </w:t>
            </w:r>
          </w:p>
        </w:tc>
        <w:tc>
          <w:tcPr>
            <w:tcW w:w="894" w:type="pct"/>
            <w:tcBorders>
              <w:top w:val="nil"/>
              <w:left w:val="nil"/>
              <w:bottom w:val="single" w:color="auto" w:sz="4" w:space="0"/>
              <w:right w:val="single" w:color="auto" w:sz="4" w:space="0"/>
            </w:tcBorders>
            <w:shd w:val="clear" w:color="auto" w:fill="auto"/>
            <w:noWrap/>
            <w:vAlign w:val="center"/>
          </w:tcPr>
          <w:p w14:paraId="6C9A249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8156.36 </w:t>
            </w:r>
          </w:p>
        </w:tc>
      </w:tr>
      <w:tr w14:paraId="6583CB4A">
        <w:tblPrEx>
          <w:tblCellMar>
            <w:top w:w="0" w:type="dxa"/>
            <w:left w:w="108" w:type="dxa"/>
            <w:bottom w:w="0" w:type="dxa"/>
            <w:right w:w="108" w:type="dxa"/>
          </w:tblCellMar>
        </w:tblPrEx>
        <w:trPr>
          <w:trHeight w:val="1590" w:hRule="atLeast"/>
        </w:trPr>
        <w:tc>
          <w:tcPr>
            <w:tcW w:w="360" w:type="pct"/>
            <w:tcBorders>
              <w:top w:val="single" w:color="auto" w:sz="4" w:space="0"/>
              <w:left w:val="single" w:color="auto" w:sz="4" w:space="0"/>
              <w:bottom w:val="nil"/>
              <w:right w:val="single" w:color="auto" w:sz="4" w:space="0"/>
            </w:tcBorders>
            <w:shd w:val="clear" w:color="auto" w:fill="auto"/>
            <w:vAlign w:val="center"/>
          </w:tcPr>
          <w:p w14:paraId="08F38C0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w:t>
            </w:r>
          </w:p>
        </w:tc>
        <w:tc>
          <w:tcPr>
            <w:tcW w:w="1770" w:type="pct"/>
            <w:tcBorders>
              <w:top w:val="nil"/>
              <w:left w:val="nil"/>
              <w:bottom w:val="single" w:color="auto" w:sz="4" w:space="0"/>
              <w:right w:val="single" w:color="auto" w:sz="4" w:space="0"/>
            </w:tcBorders>
            <w:shd w:val="clear" w:color="auto" w:fill="auto"/>
            <w:vAlign w:val="center"/>
          </w:tcPr>
          <w:p w14:paraId="134311B7">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电缆高频放电检测</w:t>
            </w:r>
            <w:r>
              <w:rPr>
                <w:rFonts w:hint="eastAsia" w:ascii="仿宋" w:hAnsi="仿宋" w:eastAsia="仿宋" w:cs="仿宋"/>
                <w:sz w:val="18"/>
                <w:szCs w:val="18"/>
              </w:rPr>
              <w:br w:type="textWrapping"/>
            </w:r>
            <w:r>
              <w:rPr>
                <w:rFonts w:hint="eastAsia" w:ascii="仿宋" w:hAnsi="仿宋" w:eastAsia="仿宋" w:cs="仿宋"/>
                <w:sz w:val="18"/>
                <w:szCs w:val="18"/>
              </w:rPr>
              <w:t>1.电压等级:110kV</w:t>
            </w:r>
            <w:r>
              <w:rPr>
                <w:rFonts w:hint="eastAsia" w:ascii="仿宋" w:hAnsi="仿宋" w:eastAsia="仿宋" w:cs="仿宋"/>
                <w:sz w:val="18"/>
                <w:szCs w:val="18"/>
              </w:rPr>
              <w:br w:type="textWrapping"/>
            </w:r>
            <w:r>
              <w:rPr>
                <w:rFonts w:hint="eastAsia" w:ascii="仿宋" w:hAnsi="仿宋" w:eastAsia="仿宋" w:cs="仿宋"/>
                <w:sz w:val="18"/>
                <w:szCs w:val="18"/>
              </w:rPr>
              <w:t>2.试验项目:高频分布式局部放电试验</w:t>
            </w:r>
            <w:r>
              <w:rPr>
                <w:rFonts w:hint="eastAsia" w:ascii="仿宋" w:hAnsi="仿宋" w:eastAsia="仿宋" w:cs="仿宋"/>
                <w:sz w:val="18"/>
                <w:szCs w:val="18"/>
              </w:rPr>
              <w:br w:type="textWrapping"/>
            </w:r>
            <w:r>
              <w:rPr>
                <w:rFonts w:hint="eastAsia" w:ascii="仿宋" w:hAnsi="仿宋" w:eastAsia="仿宋" w:cs="仿宋"/>
                <w:sz w:val="18"/>
                <w:szCs w:val="18"/>
              </w:rPr>
              <w:t>3.型号、规格:符合规范及设计要求</w:t>
            </w:r>
            <w:r>
              <w:rPr>
                <w:rFonts w:hint="eastAsia" w:ascii="仿宋" w:hAnsi="仿宋" w:eastAsia="仿宋" w:cs="仿宋"/>
                <w:sz w:val="18"/>
                <w:szCs w:val="18"/>
              </w:rPr>
              <w:br w:type="textWrapping"/>
            </w:r>
            <w:r>
              <w:rPr>
                <w:rFonts w:hint="eastAsia" w:ascii="仿宋" w:hAnsi="仿宋" w:eastAsia="仿宋" w:cs="仿宋"/>
                <w:sz w:val="18"/>
                <w:szCs w:val="18"/>
              </w:rPr>
              <w:t>4.线路长度:10km以内</w:t>
            </w:r>
          </w:p>
        </w:tc>
        <w:tc>
          <w:tcPr>
            <w:tcW w:w="437" w:type="pct"/>
            <w:tcBorders>
              <w:top w:val="nil"/>
              <w:left w:val="nil"/>
              <w:bottom w:val="single" w:color="auto" w:sz="4" w:space="0"/>
              <w:right w:val="single" w:color="auto" w:sz="4" w:space="0"/>
            </w:tcBorders>
            <w:shd w:val="clear" w:color="auto" w:fill="auto"/>
            <w:vAlign w:val="center"/>
          </w:tcPr>
          <w:p w14:paraId="2FA7017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回路</w:t>
            </w:r>
          </w:p>
        </w:tc>
        <w:tc>
          <w:tcPr>
            <w:tcW w:w="643" w:type="pct"/>
            <w:tcBorders>
              <w:top w:val="nil"/>
              <w:left w:val="nil"/>
              <w:bottom w:val="single" w:color="auto" w:sz="4" w:space="0"/>
              <w:right w:val="single" w:color="auto" w:sz="4" w:space="0"/>
            </w:tcBorders>
            <w:shd w:val="clear" w:color="auto" w:fill="auto"/>
            <w:noWrap/>
            <w:vAlign w:val="center"/>
          </w:tcPr>
          <w:p w14:paraId="750B875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892" w:type="pct"/>
            <w:tcBorders>
              <w:top w:val="nil"/>
              <w:left w:val="nil"/>
              <w:bottom w:val="single" w:color="auto" w:sz="4" w:space="0"/>
              <w:right w:val="single" w:color="auto" w:sz="4" w:space="0"/>
            </w:tcBorders>
            <w:shd w:val="clear" w:color="auto" w:fill="auto"/>
            <w:noWrap/>
            <w:vAlign w:val="center"/>
          </w:tcPr>
          <w:p w14:paraId="3C2B0A9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13286.60 </w:t>
            </w:r>
          </w:p>
        </w:tc>
        <w:tc>
          <w:tcPr>
            <w:tcW w:w="894" w:type="pct"/>
            <w:tcBorders>
              <w:top w:val="nil"/>
              <w:left w:val="nil"/>
              <w:bottom w:val="single" w:color="auto" w:sz="4" w:space="0"/>
              <w:right w:val="single" w:color="auto" w:sz="4" w:space="0"/>
            </w:tcBorders>
            <w:shd w:val="clear" w:color="auto" w:fill="auto"/>
            <w:noWrap/>
            <w:vAlign w:val="center"/>
          </w:tcPr>
          <w:p w14:paraId="4E64BF3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26573.20 </w:t>
            </w:r>
          </w:p>
        </w:tc>
      </w:tr>
      <w:tr w14:paraId="30B3FEA0">
        <w:tblPrEx>
          <w:tblCellMar>
            <w:top w:w="0" w:type="dxa"/>
            <w:left w:w="108" w:type="dxa"/>
            <w:bottom w:w="0" w:type="dxa"/>
            <w:right w:w="108" w:type="dxa"/>
          </w:tblCellMar>
        </w:tblPrEx>
        <w:trPr>
          <w:trHeight w:val="1200" w:hRule="atLeast"/>
        </w:trPr>
        <w:tc>
          <w:tcPr>
            <w:tcW w:w="360" w:type="pct"/>
            <w:tcBorders>
              <w:top w:val="single" w:color="auto" w:sz="4" w:space="0"/>
              <w:left w:val="single" w:color="auto" w:sz="4" w:space="0"/>
              <w:bottom w:val="nil"/>
              <w:right w:val="single" w:color="auto" w:sz="4" w:space="0"/>
            </w:tcBorders>
            <w:shd w:val="clear" w:color="auto" w:fill="auto"/>
            <w:vAlign w:val="center"/>
          </w:tcPr>
          <w:p w14:paraId="113F358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w:t>
            </w:r>
          </w:p>
        </w:tc>
        <w:tc>
          <w:tcPr>
            <w:tcW w:w="1770" w:type="pct"/>
            <w:tcBorders>
              <w:top w:val="nil"/>
              <w:left w:val="nil"/>
              <w:bottom w:val="single" w:color="auto" w:sz="4" w:space="0"/>
              <w:right w:val="single" w:color="auto" w:sz="4" w:space="0"/>
            </w:tcBorders>
            <w:shd w:val="clear" w:color="auto" w:fill="auto"/>
            <w:vAlign w:val="center"/>
          </w:tcPr>
          <w:p w14:paraId="06B59D95">
            <w:pPr>
              <w:adjustRightInd/>
              <w:snapToGrid/>
              <w:spacing w:after="0"/>
              <w:rPr>
                <w:rFonts w:hint="eastAsia" w:ascii="仿宋" w:hAnsi="仿宋" w:eastAsia="仿宋" w:cs="仿宋"/>
                <w:sz w:val="18"/>
                <w:szCs w:val="18"/>
              </w:rPr>
            </w:pPr>
            <w:r>
              <w:rPr>
                <w:rFonts w:hint="eastAsia" w:ascii="仿宋" w:hAnsi="仿宋" w:eastAsia="仿宋" w:cs="仿宋"/>
                <w:sz w:val="18"/>
                <w:szCs w:val="18"/>
              </w:rPr>
              <w:t>输电线路试运</w:t>
            </w:r>
            <w:r>
              <w:rPr>
                <w:rFonts w:hint="eastAsia" w:ascii="仿宋" w:hAnsi="仿宋" w:eastAsia="仿宋" w:cs="仿宋"/>
                <w:sz w:val="18"/>
                <w:szCs w:val="18"/>
              </w:rPr>
              <w:br w:type="textWrapping"/>
            </w:r>
            <w:r>
              <w:rPr>
                <w:rFonts w:hint="eastAsia" w:ascii="仿宋" w:hAnsi="仿宋" w:eastAsia="仿宋" w:cs="仿宋"/>
                <w:sz w:val="18"/>
                <w:szCs w:val="18"/>
              </w:rPr>
              <w:t>1.电压等级:110kV</w:t>
            </w:r>
            <w:r>
              <w:rPr>
                <w:rFonts w:hint="eastAsia" w:ascii="仿宋" w:hAnsi="仿宋" w:eastAsia="仿宋" w:cs="仿宋"/>
                <w:sz w:val="18"/>
                <w:szCs w:val="18"/>
              </w:rPr>
              <w:br w:type="textWrapping"/>
            </w:r>
            <w:r>
              <w:rPr>
                <w:rFonts w:hint="eastAsia" w:ascii="仿宋" w:hAnsi="仿宋" w:eastAsia="仿宋" w:cs="仿宋"/>
                <w:sz w:val="18"/>
                <w:szCs w:val="18"/>
              </w:rPr>
              <w:t>2.线路长度:7.96km</w:t>
            </w:r>
            <w:r>
              <w:rPr>
                <w:rFonts w:hint="eastAsia" w:ascii="仿宋" w:hAnsi="仿宋" w:eastAsia="仿宋" w:cs="仿宋"/>
                <w:sz w:val="18"/>
                <w:szCs w:val="18"/>
              </w:rPr>
              <w:br w:type="textWrapping"/>
            </w:r>
            <w:r>
              <w:rPr>
                <w:rFonts w:hint="eastAsia" w:ascii="仿宋" w:hAnsi="仿宋" w:eastAsia="仿宋" w:cs="仿宋"/>
                <w:sz w:val="18"/>
                <w:szCs w:val="18"/>
              </w:rPr>
              <w:t>3.回路数:双回路</w:t>
            </w:r>
          </w:p>
        </w:tc>
        <w:tc>
          <w:tcPr>
            <w:tcW w:w="437" w:type="pct"/>
            <w:tcBorders>
              <w:top w:val="nil"/>
              <w:left w:val="nil"/>
              <w:bottom w:val="single" w:color="auto" w:sz="4" w:space="0"/>
              <w:right w:val="single" w:color="auto" w:sz="4" w:space="0"/>
            </w:tcBorders>
            <w:shd w:val="clear" w:color="auto" w:fill="auto"/>
            <w:vAlign w:val="center"/>
          </w:tcPr>
          <w:p w14:paraId="74B0EBA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回</w:t>
            </w:r>
          </w:p>
        </w:tc>
        <w:tc>
          <w:tcPr>
            <w:tcW w:w="643" w:type="pct"/>
            <w:tcBorders>
              <w:top w:val="nil"/>
              <w:left w:val="nil"/>
              <w:bottom w:val="single" w:color="auto" w:sz="4" w:space="0"/>
              <w:right w:val="single" w:color="auto" w:sz="4" w:space="0"/>
            </w:tcBorders>
            <w:shd w:val="clear" w:color="auto" w:fill="auto"/>
            <w:noWrap/>
            <w:vAlign w:val="center"/>
          </w:tcPr>
          <w:p w14:paraId="47F28F1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892" w:type="pct"/>
            <w:tcBorders>
              <w:top w:val="nil"/>
              <w:left w:val="nil"/>
              <w:bottom w:val="single" w:color="auto" w:sz="4" w:space="0"/>
              <w:right w:val="single" w:color="auto" w:sz="4" w:space="0"/>
            </w:tcBorders>
            <w:shd w:val="clear" w:color="auto" w:fill="auto"/>
            <w:noWrap/>
            <w:vAlign w:val="center"/>
          </w:tcPr>
          <w:p w14:paraId="62F68E8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3955.61 </w:t>
            </w:r>
          </w:p>
        </w:tc>
        <w:tc>
          <w:tcPr>
            <w:tcW w:w="894" w:type="pct"/>
            <w:tcBorders>
              <w:top w:val="nil"/>
              <w:left w:val="nil"/>
              <w:bottom w:val="single" w:color="auto" w:sz="4" w:space="0"/>
              <w:right w:val="single" w:color="auto" w:sz="4" w:space="0"/>
            </w:tcBorders>
            <w:shd w:val="clear" w:color="auto" w:fill="auto"/>
            <w:noWrap/>
            <w:vAlign w:val="center"/>
          </w:tcPr>
          <w:p w14:paraId="1D8E245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7911.22 </w:t>
            </w:r>
          </w:p>
        </w:tc>
      </w:tr>
      <w:tr w14:paraId="154CFAD2">
        <w:tblPrEx>
          <w:tblCellMar>
            <w:top w:w="0" w:type="dxa"/>
            <w:left w:w="108" w:type="dxa"/>
            <w:bottom w:w="0" w:type="dxa"/>
            <w:right w:w="108" w:type="dxa"/>
          </w:tblCellMar>
        </w:tblPrEx>
        <w:trPr>
          <w:trHeight w:val="615" w:hRule="atLeast"/>
        </w:trPr>
        <w:tc>
          <w:tcPr>
            <w:tcW w:w="360" w:type="pct"/>
            <w:tcBorders>
              <w:top w:val="single" w:color="auto" w:sz="4" w:space="0"/>
              <w:left w:val="single" w:color="auto" w:sz="4" w:space="0"/>
              <w:bottom w:val="single" w:color="000000" w:sz="4" w:space="0"/>
              <w:right w:val="single" w:color="auto" w:sz="4" w:space="0"/>
            </w:tcBorders>
            <w:shd w:val="clear" w:color="auto" w:fill="auto"/>
            <w:vAlign w:val="center"/>
          </w:tcPr>
          <w:p w14:paraId="674887D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1770" w:type="pct"/>
            <w:tcBorders>
              <w:top w:val="nil"/>
              <w:left w:val="nil"/>
              <w:bottom w:val="single" w:color="auto" w:sz="4" w:space="0"/>
              <w:right w:val="single" w:color="auto" w:sz="4" w:space="0"/>
            </w:tcBorders>
            <w:shd w:val="clear" w:color="auto" w:fill="auto"/>
            <w:vAlign w:val="center"/>
          </w:tcPr>
          <w:p w14:paraId="546937A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合计</w:t>
            </w:r>
          </w:p>
        </w:tc>
        <w:tc>
          <w:tcPr>
            <w:tcW w:w="437" w:type="pct"/>
            <w:tcBorders>
              <w:top w:val="nil"/>
              <w:left w:val="nil"/>
              <w:bottom w:val="single" w:color="auto" w:sz="4" w:space="0"/>
              <w:right w:val="single" w:color="auto" w:sz="4" w:space="0"/>
            </w:tcBorders>
            <w:shd w:val="clear" w:color="auto" w:fill="auto"/>
            <w:vAlign w:val="center"/>
          </w:tcPr>
          <w:p w14:paraId="0B4F836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643" w:type="pct"/>
            <w:tcBorders>
              <w:top w:val="nil"/>
              <w:left w:val="nil"/>
              <w:bottom w:val="single" w:color="auto" w:sz="4" w:space="0"/>
              <w:right w:val="single" w:color="auto" w:sz="4" w:space="0"/>
            </w:tcBorders>
            <w:shd w:val="clear" w:color="auto" w:fill="auto"/>
            <w:noWrap/>
            <w:vAlign w:val="center"/>
          </w:tcPr>
          <w:p w14:paraId="3776DE0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892" w:type="pct"/>
            <w:tcBorders>
              <w:top w:val="nil"/>
              <w:left w:val="nil"/>
              <w:bottom w:val="single" w:color="000000" w:sz="4" w:space="0"/>
              <w:right w:val="single" w:color="auto" w:sz="4" w:space="0"/>
            </w:tcBorders>
            <w:shd w:val="clear" w:color="auto" w:fill="auto"/>
            <w:noWrap/>
            <w:vAlign w:val="center"/>
          </w:tcPr>
          <w:p w14:paraId="69A9857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894" w:type="pct"/>
            <w:tcBorders>
              <w:top w:val="nil"/>
              <w:left w:val="nil"/>
              <w:bottom w:val="single" w:color="000000" w:sz="4" w:space="0"/>
              <w:right w:val="single" w:color="auto" w:sz="4" w:space="0"/>
            </w:tcBorders>
            <w:shd w:val="clear" w:color="auto" w:fill="auto"/>
            <w:noWrap/>
            <w:vAlign w:val="center"/>
          </w:tcPr>
          <w:p w14:paraId="56268A5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xml:space="preserve">475131.38 </w:t>
            </w:r>
          </w:p>
        </w:tc>
      </w:tr>
      <w:tr w14:paraId="35ABC212">
        <w:tblPrEx>
          <w:tblCellMar>
            <w:top w:w="0" w:type="dxa"/>
            <w:left w:w="108" w:type="dxa"/>
            <w:bottom w:w="0" w:type="dxa"/>
            <w:right w:w="108" w:type="dxa"/>
          </w:tblCellMar>
        </w:tblPrEx>
        <w:trPr>
          <w:trHeight w:val="1020" w:hRule="atLeast"/>
        </w:trPr>
        <w:tc>
          <w:tcPr>
            <w:tcW w:w="5000" w:type="pct"/>
            <w:gridSpan w:val="6"/>
            <w:tcBorders>
              <w:top w:val="nil"/>
              <w:left w:val="nil"/>
              <w:bottom w:val="nil"/>
              <w:right w:val="nil"/>
            </w:tcBorders>
            <w:shd w:val="clear" w:color="auto" w:fill="auto"/>
            <w:vAlign w:val="center"/>
          </w:tcPr>
          <w:p w14:paraId="36E6FC95">
            <w:pPr>
              <w:adjustRightInd/>
              <w:snapToGrid/>
              <w:spacing w:after="0"/>
              <w:rPr>
                <w:rFonts w:hint="eastAsia" w:ascii="仿宋" w:hAnsi="仿宋" w:eastAsia="仿宋" w:cs="仿宋"/>
                <w:b/>
                <w:bCs/>
                <w:sz w:val="20"/>
                <w:szCs w:val="20"/>
              </w:rPr>
            </w:pPr>
            <w:r>
              <w:rPr>
                <w:rFonts w:hint="eastAsia" w:ascii="仿宋" w:hAnsi="仿宋" w:eastAsia="仿宋" w:cs="仿宋"/>
                <w:b/>
                <w:bCs/>
                <w:sz w:val="20"/>
                <w:szCs w:val="20"/>
              </w:rPr>
              <w:t>备注：上列控制价单价中不包含电缆及电缆头主材价，控制价单价包括为完成清单及施工方案范围内所需的人工费、其他材料费、机械费、措施费、管理费、利润、规费及税金（其中增值税税率为9%）、风险费、保险费、工程验收等费用。已考虑本工程所有责任、义务及不可抗力以外的风险因素等所发生的费用，除本工程合同约定外，投标人不得再向招标人主张任何其他费用和权利。</w:t>
            </w:r>
          </w:p>
        </w:tc>
      </w:tr>
    </w:tbl>
    <w:p w14:paraId="1069F310">
      <w:pPr>
        <w:rPr>
          <w:rFonts w:ascii="仿宋" w:hAnsi="仿宋" w:eastAsia="仿宋"/>
          <w:b/>
          <w:sz w:val="28"/>
          <w:szCs w:val="28"/>
        </w:rPr>
      </w:pPr>
      <w:r>
        <w:rPr>
          <w:rFonts w:ascii="仿宋" w:hAnsi="仿宋" w:eastAsia="仿宋"/>
          <w:b/>
          <w:sz w:val="28"/>
          <w:szCs w:val="28"/>
        </w:rPr>
        <w:br w:type="page"/>
      </w:r>
    </w:p>
    <w:p w14:paraId="3F70999B">
      <w:pPr>
        <w:spacing w:before="100" w:beforeAutospacing="1" w:after="100" w:afterAutospacing="1" w:line="360" w:lineRule="auto"/>
        <w:jc w:val="center"/>
        <w:rPr>
          <w:rFonts w:ascii="仿宋" w:hAnsi="仿宋" w:eastAsia="仿宋"/>
          <w:sz w:val="28"/>
          <w:szCs w:val="28"/>
        </w:rPr>
      </w:pPr>
      <w:r>
        <w:rPr>
          <w:rFonts w:hint="eastAsia" w:ascii="仿宋" w:hAnsi="仿宋" w:eastAsia="仿宋"/>
          <w:sz w:val="28"/>
          <w:szCs w:val="28"/>
        </w:rPr>
        <w:t>在经营活动中无重大违法记录和行贿犯罪记录的承诺</w:t>
      </w:r>
    </w:p>
    <w:p w14:paraId="03AA01EB">
      <w:pPr>
        <w:spacing w:line="360" w:lineRule="auto"/>
        <w:jc w:val="center"/>
        <w:rPr>
          <w:rFonts w:ascii="仿宋" w:hAnsi="仿宋" w:eastAsia="仿宋"/>
          <w:sz w:val="24"/>
          <w:szCs w:val="24"/>
        </w:rPr>
      </w:pPr>
    </w:p>
    <w:p w14:paraId="1E77F13A">
      <w:pPr>
        <w:spacing w:line="360" w:lineRule="auto"/>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（项目名称）</w:t>
      </w:r>
      <w:r>
        <w:rPr>
          <w:rFonts w:hint="eastAsia" w:ascii="仿宋" w:hAnsi="仿宋" w:eastAsia="仿宋"/>
          <w:sz w:val="24"/>
          <w:szCs w:val="24"/>
        </w:rPr>
        <w:t>投标活动前</w:t>
      </w:r>
      <w:r>
        <w:rPr>
          <w:rFonts w:ascii="仿宋" w:hAnsi="仿宋" w:eastAsia="仿宋"/>
          <w:sz w:val="24"/>
          <w:szCs w:val="24"/>
        </w:rPr>
        <w:t>3</w:t>
      </w:r>
      <w:r>
        <w:rPr>
          <w:rFonts w:hint="eastAsia" w:ascii="仿宋" w:hAnsi="仿宋" w:eastAsia="仿宋"/>
          <w:sz w:val="24"/>
          <w:szCs w:val="24"/>
        </w:rPr>
        <w:t>年内，我方被公开披露或查处的违法违规行为有：，但在经营活动中：</w:t>
      </w:r>
    </w:p>
    <w:p w14:paraId="4193AE70">
      <w:pPr>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、没有重大违法记录（重大违法记录指</w:t>
      </w:r>
      <w:r>
        <w:rPr>
          <w:rFonts w:hint="eastAsia" w:ascii="仿宋" w:hAnsi="仿宋" w:eastAsia="仿宋" w:cs="宋体"/>
          <w:kern w:val="0"/>
          <w:sz w:val="24"/>
          <w:szCs w:val="24"/>
        </w:rPr>
        <w:t>投标人因违法经营受到刑事处罚或者责令停产停业、吊销许可证或者执照、较大数额罚款等行政处罚）</w:t>
      </w:r>
      <w:r>
        <w:rPr>
          <w:rFonts w:hint="eastAsia" w:ascii="仿宋" w:hAnsi="仿宋" w:eastAsia="仿宋"/>
          <w:sz w:val="24"/>
          <w:szCs w:val="24"/>
        </w:rPr>
        <w:t>。</w:t>
      </w:r>
    </w:p>
    <w:p w14:paraId="7A56F623">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、没有行贿犯罪记录（查询内容：①供应商 、组织机构代码证或统一社会信用代码；②法定代表人、身份证号码；③项目负责人、身份证号码）。</w:t>
      </w:r>
    </w:p>
    <w:p w14:paraId="216273F7">
      <w:pPr>
        <w:spacing w:line="360" w:lineRule="auto"/>
        <w:ind w:firstLine="480" w:firstLineChars="200"/>
        <w:rPr>
          <w:rFonts w:ascii="仿宋" w:hAnsi="仿宋" w:eastAsia="仿宋"/>
          <w:sz w:val="24"/>
          <w:szCs w:val="24"/>
        </w:rPr>
      </w:pPr>
      <w:r>
        <w:rPr>
          <w:rFonts w:hint="eastAsia" w:ascii="仿宋" w:hAnsi="仿宋" w:eastAsia="仿宋"/>
          <w:sz w:val="24"/>
          <w:szCs w:val="24"/>
        </w:rPr>
        <w:t>以上承诺若与实际情况不符，我方自愿承担一切法律后果。</w:t>
      </w:r>
    </w:p>
    <w:p w14:paraId="2BD07FE0">
      <w:pPr>
        <w:spacing w:line="360" w:lineRule="auto"/>
        <w:ind w:firstLine="480" w:firstLineChars="200"/>
        <w:rPr>
          <w:rFonts w:ascii="仿宋" w:hAnsi="仿宋" w:eastAsia="仿宋"/>
          <w:sz w:val="24"/>
          <w:szCs w:val="24"/>
        </w:rPr>
      </w:pPr>
    </w:p>
    <w:p w14:paraId="6D59035D">
      <w:pPr>
        <w:spacing w:line="360" w:lineRule="auto"/>
        <w:ind w:firstLine="480" w:firstLineChars="200"/>
        <w:rPr>
          <w:rFonts w:ascii="仿宋" w:hAnsi="仿宋" w:eastAsia="仿宋"/>
          <w:sz w:val="24"/>
          <w:szCs w:val="24"/>
        </w:rPr>
      </w:pPr>
    </w:p>
    <w:p w14:paraId="4FE39F45">
      <w:pPr>
        <w:spacing w:line="360" w:lineRule="auto"/>
        <w:ind w:firstLine="360" w:firstLineChars="150"/>
        <w:rPr>
          <w:rFonts w:ascii="仿宋" w:hAnsi="仿宋" w:eastAsia="仿宋"/>
          <w:sz w:val="24"/>
          <w:szCs w:val="24"/>
        </w:rPr>
      </w:pPr>
      <w:r>
        <w:rPr>
          <w:rFonts w:hint="eastAsia" w:ascii="仿宋" w:hAnsi="仿宋" w:eastAsia="仿宋"/>
          <w:sz w:val="24"/>
          <w:szCs w:val="24"/>
        </w:rPr>
        <w:t>投标人：</w:t>
      </w:r>
      <w:r>
        <w:rPr>
          <w:rFonts w:hint="eastAsia" w:ascii="仿宋" w:hAnsi="仿宋" w:eastAsia="仿宋"/>
          <w:sz w:val="24"/>
          <w:szCs w:val="24"/>
          <w:u w:val="single"/>
        </w:rPr>
        <w:t xml:space="preserve">                      （公章）</w:t>
      </w:r>
    </w:p>
    <w:p w14:paraId="46340512">
      <w:pPr>
        <w:spacing w:line="360" w:lineRule="auto"/>
        <w:ind w:firstLine="360" w:firstLineChars="150"/>
        <w:rPr>
          <w:rFonts w:ascii="仿宋" w:hAnsi="仿宋" w:eastAsia="仿宋"/>
          <w:sz w:val="24"/>
          <w:szCs w:val="24"/>
        </w:rPr>
      </w:pPr>
      <w:r>
        <w:rPr>
          <w:rFonts w:hint="eastAsia" w:ascii="仿宋" w:hAnsi="仿宋" w:eastAsia="仿宋"/>
          <w:sz w:val="24"/>
          <w:szCs w:val="24"/>
        </w:rPr>
        <w:t>日期：    年  月  日</w:t>
      </w:r>
    </w:p>
    <w:p w14:paraId="7940AED5">
      <w:pPr>
        <w:spacing w:line="360" w:lineRule="auto"/>
        <w:rPr>
          <w:rFonts w:ascii="仿宋" w:hAnsi="仿宋" w:eastAsia="仿宋"/>
          <w:sz w:val="24"/>
          <w:szCs w:val="24"/>
        </w:rPr>
      </w:pPr>
    </w:p>
    <w:p w14:paraId="5FC10349">
      <w:pPr>
        <w:spacing w:line="360" w:lineRule="auto"/>
        <w:ind w:firstLine="480"/>
        <w:rPr>
          <w:rFonts w:ascii="仿宋" w:hAnsi="仿宋" w:eastAsia="仿宋"/>
          <w:sz w:val="24"/>
          <w:szCs w:val="24"/>
        </w:rPr>
      </w:pPr>
      <w:r>
        <w:rPr>
          <w:rFonts w:hint="eastAsia" w:ascii="仿宋" w:hAnsi="仿宋" w:eastAsia="仿宋"/>
          <w:sz w:val="24"/>
          <w:szCs w:val="24"/>
        </w:rPr>
        <w:t>备注：1.投标人没有被公开披露或查处违法违规行为的，注明“无”即可。</w:t>
      </w:r>
    </w:p>
    <w:p w14:paraId="6DAED382">
      <w:pPr>
        <w:spacing w:line="360" w:lineRule="auto"/>
        <w:ind w:firstLine="480"/>
        <w:rPr>
          <w:rFonts w:ascii="仿宋" w:hAnsi="仿宋" w:eastAsia="仿宋"/>
          <w:sz w:val="24"/>
          <w:szCs w:val="24"/>
        </w:rPr>
      </w:pPr>
      <w:r>
        <w:rPr>
          <w:rFonts w:hint="eastAsia" w:ascii="仿宋" w:hAnsi="仿宋" w:eastAsia="仿宋"/>
          <w:sz w:val="24"/>
          <w:szCs w:val="24"/>
        </w:rPr>
        <w:t xml:space="preserve">      2.</w:t>
      </w:r>
      <w:r>
        <w:rPr>
          <w:rFonts w:hint="eastAsia" w:ascii="仿宋" w:hAnsi="仿宋" w:eastAsia="仿宋"/>
          <w:sz w:val="24"/>
          <w:szCs w:val="24"/>
          <w:lang w:eastAsia="zh-CN"/>
        </w:rPr>
        <w:t>采购</w:t>
      </w:r>
      <w:r>
        <w:rPr>
          <w:rFonts w:hint="eastAsia" w:ascii="仿宋" w:hAnsi="仿宋" w:eastAsia="仿宋"/>
          <w:sz w:val="24"/>
          <w:szCs w:val="24"/>
        </w:rPr>
        <w:t>文件未要求项目负责人的，项目负责人一栏可删除。</w:t>
      </w:r>
    </w:p>
    <w:p w14:paraId="73FD2041">
      <w:pPr>
        <w:widowControl/>
        <w:autoSpaceDE w:val="0"/>
        <w:autoSpaceDN w:val="0"/>
        <w:adjustRightInd w:val="0"/>
        <w:spacing w:line="360" w:lineRule="auto"/>
        <w:rPr>
          <w:rFonts w:ascii="仿宋" w:hAnsi="仿宋" w:eastAsia="仿宋"/>
          <w:kern w:val="1"/>
          <w:sz w:val="24"/>
          <w:szCs w:val="24"/>
        </w:rPr>
      </w:pPr>
    </w:p>
    <w:p w14:paraId="4E519325">
      <w:pPr>
        <w:widowControl/>
        <w:jc w:val="left"/>
        <w:rPr>
          <w:rFonts w:ascii="仿宋" w:hAnsi="仿宋" w:eastAsia="仿宋" w:cs="仿宋"/>
          <w:b/>
          <w:bCs/>
          <w:sz w:val="24"/>
          <w:szCs w:val="24"/>
        </w:rPr>
      </w:pPr>
      <w:r>
        <w:rPr>
          <w:rFonts w:ascii="仿宋" w:hAnsi="仿宋" w:eastAsia="仿宋" w:cs="仿宋"/>
          <w:b/>
          <w:bCs/>
          <w:sz w:val="24"/>
          <w:szCs w:val="24"/>
        </w:rPr>
        <w:br w:type="page"/>
      </w:r>
    </w:p>
    <w:p w14:paraId="0E4688F9">
      <w:pPr>
        <w:spacing w:line="440" w:lineRule="exact"/>
        <w:jc w:val="center"/>
        <w:rPr>
          <w:rFonts w:ascii="仿宋" w:hAnsi="仿宋" w:eastAsia="仿宋" w:cs="仿宋"/>
          <w:sz w:val="28"/>
          <w:szCs w:val="28"/>
        </w:rPr>
      </w:pPr>
      <w:bookmarkStart w:id="3" w:name="_Toc300835213"/>
      <w:bookmarkStart w:id="4" w:name="_Toc247514283"/>
      <w:bookmarkStart w:id="5" w:name="_Toc152042580"/>
      <w:bookmarkStart w:id="6" w:name="_Toc152045791"/>
      <w:bookmarkStart w:id="7" w:name="_Toc247527831"/>
      <w:bookmarkStart w:id="8" w:name="_Toc144974860"/>
      <w:r>
        <w:rPr>
          <w:rFonts w:hint="eastAsia" w:ascii="仿宋" w:hAnsi="仿宋" w:eastAsia="仿宋" w:cs="仿宋"/>
          <w:sz w:val="28"/>
          <w:szCs w:val="28"/>
        </w:rPr>
        <w:t>法定代表人身份证明</w:t>
      </w:r>
      <w:bookmarkEnd w:id="3"/>
      <w:bookmarkEnd w:id="4"/>
      <w:bookmarkEnd w:id="5"/>
      <w:bookmarkEnd w:id="6"/>
      <w:bookmarkEnd w:id="7"/>
      <w:bookmarkEnd w:id="8"/>
    </w:p>
    <w:p w14:paraId="310697AE">
      <w:pPr>
        <w:spacing w:line="440" w:lineRule="exact"/>
        <w:rPr>
          <w:rFonts w:ascii="仿宋" w:hAnsi="仿宋" w:eastAsia="仿宋" w:cs="仿宋"/>
          <w:sz w:val="20"/>
        </w:rPr>
      </w:pPr>
    </w:p>
    <w:p w14:paraId="23AC5DE9">
      <w:pPr>
        <w:spacing w:line="440" w:lineRule="exact"/>
        <w:rPr>
          <w:rFonts w:ascii="仿宋" w:hAnsi="仿宋" w:eastAsia="仿宋" w:cs="仿宋"/>
          <w:sz w:val="24"/>
          <w:szCs w:val="24"/>
        </w:rPr>
      </w:pPr>
    </w:p>
    <w:p w14:paraId="53CF1936">
      <w:pPr>
        <w:spacing w:line="440" w:lineRule="exact"/>
        <w:rPr>
          <w:rFonts w:ascii="仿宋" w:hAnsi="仿宋" w:eastAsia="仿宋" w:cs="仿宋"/>
          <w:sz w:val="24"/>
          <w:szCs w:val="24"/>
        </w:rPr>
      </w:pPr>
      <w:r>
        <w:rPr>
          <w:rFonts w:hint="eastAsia" w:ascii="仿宋" w:hAnsi="仿宋" w:eastAsia="仿宋" w:cs="仿宋"/>
          <w:sz w:val="24"/>
          <w:szCs w:val="24"/>
        </w:rPr>
        <w:t>投标人名称：</w:t>
      </w:r>
    </w:p>
    <w:p w14:paraId="4867B453">
      <w:pPr>
        <w:spacing w:line="440" w:lineRule="exact"/>
        <w:rPr>
          <w:rFonts w:ascii="仿宋" w:hAnsi="仿宋" w:eastAsia="仿宋" w:cs="仿宋"/>
          <w:sz w:val="24"/>
          <w:szCs w:val="24"/>
        </w:rPr>
      </w:pPr>
      <w:r>
        <w:rPr>
          <w:rFonts w:hint="eastAsia" w:ascii="仿宋" w:hAnsi="仿宋" w:eastAsia="仿宋" w:cs="仿宋"/>
          <w:sz w:val="24"/>
          <w:szCs w:val="24"/>
        </w:rPr>
        <w:t>单位性质：</w:t>
      </w:r>
    </w:p>
    <w:p w14:paraId="2096E655">
      <w:pPr>
        <w:spacing w:line="440" w:lineRule="exact"/>
        <w:rPr>
          <w:rFonts w:ascii="仿宋" w:hAnsi="仿宋" w:eastAsia="仿宋" w:cs="仿宋"/>
          <w:sz w:val="24"/>
          <w:szCs w:val="24"/>
        </w:rPr>
      </w:pPr>
      <w:r>
        <w:rPr>
          <w:rFonts w:hint="eastAsia" w:ascii="仿宋" w:hAnsi="仿宋" w:eastAsia="仿宋" w:cs="仿宋"/>
          <w:sz w:val="24"/>
          <w:szCs w:val="24"/>
        </w:rPr>
        <w:t>地址：</w:t>
      </w:r>
    </w:p>
    <w:p w14:paraId="180922B0">
      <w:pPr>
        <w:spacing w:line="440" w:lineRule="exact"/>
        <w:rPr>
          <w:rFonts w:ascii="仿宋" w:hAnsi="仿宋" w:eastAsia="仿宋" w:cs="仿宋"/>
          <w:sz w:val="24"/>
          <w:szCs w:val="24"/>
        </w:rPr>
      </w:pPr>
      <w:r>
        <w:rPr>
          <w:rFonts w:hint="eastAsia" w:ascii="仿宋" w:hAnsi="仿宋" w:eastAsia="仿宋" w:cs="仿宋"/>
          <w:sz w:val="24"/>
          <w:szCs w:val="24"/>
        </w:rPr>
        <w:t>成立时间：年月日</w:t>
      </w:r>
    </w:p>
    <w:p w14:paraId="292FB5CD">
      <w:pPr>
        <w:spacing w:line="440" w:lineRule="exact"/>
        <w:rPr>
          <w:rFonts w:ascii="仿宋" w:hAnsi="仿宋" w:eastAsia="仿宋" w:cs="仿宋"/>
          <w:sz w:val="24"/>
          <w:szCs w:val="24"/>
        </w:rPr>
      </w:pPr>
      <w:r>
        <w:rPr>
          <w:rFonts w:hint="eastAsia" w:ascii="仿宋" w:hAnsi="仿宋" w:eastAsia="仿宋" w:cs="仿宋"/>
          <w:sz w:val="24"/>
          <w:szCs w:val="24"/>
        </w:rPr>
        <w:t>经营期限：</w:t>
      </w:r>
    </w:p>
    <w:p w14:paraId="2CF8AF96">
      <w:pPr>
        <w:spacing w:line="440" w:lineRule="exact"/>
        <w:rPr>
          <w:rFonts w:ascii="仿宋" w:hAnsi="仿宋" w:eastAsia="仿宋" w:cs="仿宋"/>
          <w:sz w:val="24"/>
          <w:szCs w:val="24"/>
        </w:rPr>
      </w:pPr>
    </w:p>
    <w:p w14:paraId="0EEC6151">
      <w:pPr>
        <w:spacing w:line="440" w:lineRule="exact"/>
        <w:rPr>
          <w:rFonts w:ascii="仿宋" w:hAnsi="仿宋" w:eastAsia="仿宋" w:cs="仿宋"/>
          <w:sz w:val="24"/>
          <w:szCs w:val="24"/>
        </w:rPr>
      </w:pPr>
      <w:r>
        <w:rPr>
          <w:rFonts w:hint="eastAsia" w:ascii="仿宋" w:hAnsi="仿宋" w:eastAsia="仿宋" w:cs="仿宋"/>
          <w:sz w:val="24"/>
          <w:szCs w:val="24"/>
        </w:rPr>
        <w:t>姓名： 性别： 年龄：职务：</w:t>
      </w:r>
    </w:p>
    <w:p w14:paraId="25B1EF7C">
      <w:pPr>
        <w:spacing w:line="440" w:lineRule="exact"/>
        <w:rPr>
          <w:rFonts w:ascii="仿宋" w:hAnsi="仿宋" w:eastAsia="仿宋" w:cs="仿宋"/>
          <w:sz w:val="24"/>
          <w:szCs w:val="24"/>
        </w:rPr>
      </w:pPr>
      <w:r>
        <w:rPr>
          <w:rFonts w:hint="eastAsia" w:ascii="仿宋" w:hAnsi="仿宋" w:eastAsia="仿宋" w:cs="仿宋"/>
          <w:sz w:val="24"/>
          <w:szCs w:val="24"/>
        </w:rPr>
        <w:t>系 （供应商名称）的法定代表人。</w:t>
      </w:r>
    </w:p>
    <w:p w14:paraId="23ECF1C7">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特此证明。</w:t>
      </w:r>
    </w:p>
    <w:p w14:paraId="10147188">
      <w:pPr>
        <w:spacing w:line="440" w:lineRule="exact"/>
        <w:rPr>
          <w:rFonts w:ascii="仿宋" w:hAnsi="仿宋" w:eastAsia="仿宋" w:cs="仿宋"/>
          <w:sz w:val="24"/>
          <w:szCs w:val="24"/>
        </w:rPr>
      </w:pPr>
    </w:p>
    <w:p w14:paraId="78F95950">
      <w:pPr>
        <w:spacing w:line="440" w:lineRule="exact"/>
        <w:rPr>
          <w:rFonts w:ascii="仿宋" w:hAnsi="仿宋" w:eastAsia="仿宋" w:cs="仿宋"/>
          <w:sz w:val="24"/>
          <w:szCs w:val="24"/>
        </w:rPr>
      </w:pPr>
      <w:r>
        <w:rPr>
          <w:rFonts w:hint="eastAsia" w:ascii="仿宋" w:hAnsi="仿宋" w:eastAsia="仿宋" w:cs="仿宋"/>
          <w:sz w:val="24"/>
          <w:szCs w:val="24"/>
        </w:rPr>
        <w:t>附：法定代表人身份证复印件。</w:t>
      </w:r>
    </w:p>
    <w:p w14:paraId="3CF88D0C">
      <w:pPr>
        <w:spacing w:line="440" w:lineRule="exact"/>
        <w:rPr>
          <w:rFonts w:ascii="仿宋" w:hAnsi="仿宋" w:eastAsia="仿宋" w:cs="仿宋"/>
          <w:sz w:val="24"/>
          <w:szCs w:val="24"/>
        </w:rPr>
      </w:pPr>
    </w:p>
    <w:p w14:paraId="7C42AE62">
      <w:pPr>
        <w:spacing w:line="440" w:lineRule="exact"/>
        <w:rPr>
          <w:rFonts w:ascii="仿宋" w:hAnsi="仿宋" w:eastAsia="仿宋" w:cs="仿宋"/>
          <w:sz w:val="24"/>
          <w:szCs w:val="24"/>
        </w:rPr>
      </w:pPr>
    </w:p>
    <w:p w14:paraId="799670B5">
      <w:pPr>
        <w:spacing w:line="440" w:lineRule="exact"/>
        <w:rPr>
          <w:rFonts w:ascii="仿宋" w:hAnsi="仿宋" w:eastAsia="仿宋" w:cs="仿宋"/>
          <w:sz w:val="24"/>
          <w:szCs w:val="24"/>
        </w:rPr>
      </w:pPr>
    </w:p>
    <w:p w14:paraId="69F6828B">
      <w:pPr>
        <w:spacing w:line="440" w:lineRule="exact"/>
        <w:rPr>
          <w:rFonts w:ascii="仿宋" w:hAnsi="仿宋" w:eastAsia="仿宋" w:cs="仿宋"/>
          <w:sz w:val="24"/>
          <w:szCs w:val="24"/>
        </w:rPr>
      </w:pPr>
    </w:p>
    <w:p w14:paraId="5998CDE5">
      <w:pPr>
        <w:spacing w:line="440" w:lineRule="exact"/>
        <w:rPr>
          <w:rFonts w:ascii="仿宋" w:hAnsi="仿宋" w:eastAsia="仿宋" w:cs="仿宋"/>
          <w:sz w:val="24"/>
          <w:szCs w:val="24"/>
        </w:rPr>
      </w:pPr>
    </w:p>
    <w:p w14:paraId="4472109F">
      <w:pPr>
        <w:spacing w:line="440" w:lineRule="exact"/>
        <w:rPr>
          <w:rFonts w:ascii="仿宋" w:hAnsi="仿宋" w:eastAsia="仿宋" w:cs="仿宋"/>
          <w:sz w:val="24"/>
          <w:szCs w:val="24"/>
        </w:rPr>
      </w:pPr>
    </w:p>
    <w:p w14:paraId="76AAD14C">
      <w:pPr>
        <w:spacing w:line="440" w:lineRule="exact"/>
        <w:rPr>
          <w:rFonts w:ascii="仿宋" w:hAnsi="仿宋" w:eastAsia="仿宋" w:cs="仿宋"/>
          <w:sz w:val="24"/>
          <w:szCs w:val="24"/>
        </w:rPr>
      </w:pPr>
    </w:p>
    <w:p w14:paraId="57E96024">
      <w:pPr>
        <w:spacing w:line="44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投标人：（公章）</w:t>
      </w:r>
    </w:p>
    <w:p w14:paraId="2CA0B158">
      <w:pPr>
        <w:spacing w:line="44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p>
    <w:p w14:paraId="6732C34F">
      <w:pPr>
        <w:widowControl/>
        <w:autoSpaceDE w:val="0"/>
        <w:autoSpaceDN w:val="0"/>
        <w:adjustRightInd w:val="0"/>
        <w:spacing w:line="460" w:lineRule="exact"/>
        <w:rPr>
          <w:rStyle w:val="50"/>
          <w:rFonts w:cs="仿宋"/>
          <w:sz w:val="24"/>
          <w:szCs w:val="24"/>
        </w:rPr>
      </w:pPr>
      <w:r>
        <w:rPr>
          <w:rStyle w:val="50"/>
          <w:rFonts w:hint="eastAsia" w:cs="仿宋"/>
          <w:sz w:val="24"/>
          <w:szCs w:val="24"/>
        </w:rPr>
        <w:br w:type="page"/>
      </w:r>
    </w:p>
    <w:p w14:paraId="7B3290A5">
      <w:pPr>
        <w:widowControl/>
        <w:autoSpaceDE w:val="0"/>
        <w:autoSpaceDN w:val="0"/>
        <w:adjustRightInd w:val="0"/>
        <w:spacing w:line="300" w:lineRule="auto"/>
        <w:jc w:val="center"/>
        <w:rPr>
          <w:rFonts w:ascii="仿宋" w:hAnsi="仿宋" w:eastAsia="仿宋" w:cs="仿宋"/>
          <w:kern w:val="1"/>
          <w:sz w:val="28"/>
          <w:szCs w:val="28"/>
        </w:rPr>
      </w:pPr>
      <w:r>
        <w:rPr>
          <w:rFonts w:hint="eastAsia" w:ascii="仿宋" w:hAnsi="仿宋" w:eastAsia="仿宋" w:cs="仿宋"/>
          <w:kern w:val="1"/>
          <w:sz w:val="28"/>
          <w:szCs w:val="28"/>
        </w:rPr>
        <w:t>法定代表人授权委托书</w:t>
      </w:r>
    </w:p>
    <w:p w14:paraId="5EB9FCFA">
      <w:pPr>
        <w:widowControl/>
        <w:autoSpaceDE w:val="0"/>
        <w:autoSpaceDN w:val="0"/>
        <w:adjustRightInd w:val="0"/>
        <w:spacing w:line="360" w:lineRule="auto"/>
        <w:rPr>
          <w:rFonts w:ascii="仿宋" w:hAnsi="仿宋" w:eastAsia="仿宋" w:cs="仿宋"/>
          <w:kern w:val="1"/>
          <w:sz w:val="24"/>
          <w:szCs w:val="24"/>
        </w:rPr>
      </w:pPr>
    </w:p>
    <w:p w14:paraId="60FD7A4E">
      <w:pPr>
        <w:widowControl/>
        <w:autoSpaceDE w:val="0"/>
        <w:autoSpaceDN w:val="0"/>
        <w:adjustRightInd w:val="0"/>
        <w:spacing w:line="480" w:lineRule="auto"/>
        <w:rPr>
          <w:rFonts w:ascii="仿宋" w:hAnsi="仿宋" w:eastAsia="仿宋" w:cs="仿宋"/>
          <w:kern w:val="1"/>
          <w:sz w:val="24"/>
          <w:szCs w:val="24"/>
        </w:rPr>
      </w:pP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u w:val="single"/>
          <w:lang w:eastAsia="zh-CN"/>
        </w:rPr>
        <w:t>采购</w:t>
      </w:r>
      <w:r>
        <w:rPr>
          <w:rFonts w:hint="eastAsia" w:ascii="仿宋" w:hAnsi="仿宋" w:eastAsia="仿宋" w:cs="仿宋"/>
          <w:kern w:val="1"/>
          <w:sz w:val="24"/>
          <w:szCs w:val="24"/>
          <w:u w:val="single"/>
        </w:rPr>
        <w:t xml:space="preserve">人）  </w:t>
      </w:r>
      <w:r>
        <w:rPr>
          <w:rStyle w:val="50"/>
          <w:rFonts w:hint="eastAsia" w:cs="仿宋"/>
          <w:sz w:val="24"/>
          <w:szCs w:val="24"/>
        </w:rPr>
        <w:t>：</w:t>
      </w:r>
    </w:p>
    <w:p w14:paraId="22EA93A9">
      <w:pPr>
        <w:widowControl/>
        <w:autoSpaceDE w:val="0"/>
        <w:autoSpaceDN w:val="0"/>
        <w:adjustRightInd w:val="0"/>
        <w:spacing w:line="480" w:lineRule="auto"/>
        <w:ind w:firstLine="480"/>
        <w:rPr>
          <w:rFonts w:ascii="仿宋" w:hAnsi="仿宋" w:eastAsia="仿宋" w:cs="仿宋"/>
          <w:kern w:val="1"/>
          <w:sz w:val="24"/>
          <w:szCs w:val="24"/>
        </w:rPr>
      </w:pPr>
      <w:r>
        <w:rPr>
          <w:rStyle w:val="50"/>
          <w:rFonts w:hint="eastAsia" w:cs="仿宋"/>
          <w:sz w:val="24"/>
          <w:szCs w:val="24"/>
        </w:rPr>
        <w:t>我</w:t>
      </w:r>
      <w:r>
        <w:rPr>
          <w:rFonts w:hint="eastAsia" w:ascii="仿宋" w:hAnsi="仿宋" w:eastAsia="仿宋" w:cs="仿宋"/>
          <w:kern w:val="1"/>
          <w:sz w:val="24"/>
          <w:szCs w:val="24"/>
          <w:u w:val="single"/>
        </w:rPr>
        <w:t xml:space="preserve">   （姓名） </w:t>
      </w:r>
      <w:r>
        <w:rPr>
          <w:rStyle w:val="50"/>
          <w:rFonts w:hint="eastAsia" w:cs="仿宋"/>
          <w:sz w:val="24"/>
          <w:szCs w:val="24"/>
        </w:rPr>
        <w:t>系</w:t>
      </w:r>
      <w:r>
        <w:rPr>
          <w:rFonts w:hint="eastAsia" w:ascii="仿宋" w:hAnsi="仿宋" w:eastAsia="仿宋" w:cs="仿宋"/>
          <w:kern w:val="1"/>
          <w:sz w:val="24"/>
          <w:szCs w:val="24"/>
          <w:u w:val="single"/>
        </w:rPr>
        <w:t xml:space="preserve">    （投标人名称）</w:t>
      </w:r>
      <w:r>
        <w:rPr>
          <w:rStyle w:val="50"/>
          <w:rFonts w:hint="eastAsia" w:cs="仿宋"/>
          <w:sz w:val="24"/>
          <w:szCs w:val="24"/>
        </w:rPr>
        <w:t>法定代表人，现授权委托我公司的</w:t>
      </w:r>
      <w:r>
        <w:rPr>
          <w:rFonts w:hint="eastAsia" w:ascii="仿宋" w:hAnsi="仿宋" w:eastAsia="仿宋" w:cs="仿宋"/>
          <w:kern w:val="1"/>
          <w:sz w:val="24"/>
          <w:szCs w:val="24"/>
          <w:u w:val="single"/>
        </w:rPr>
        <w:t xml:space="preserve">  （姓名、职务或者职称）</w:t>
      </w:r>
      <w:r>
        <w:rPr>
          <w:rStyle w:val="50"/>
          <w:rFonts w:hint="eastAsia" w:cs="仿宋"/>
          <w:sz w:val="24"/>
          <w:szCs w:val="24"/>
        </w:rPr>
        <w:t>为我公司本次项目的授权代表，代表我方办理本次投标、签约等相关事宜，签署全部有关的文件、协议、合同并具有法律效力。</w:t>
      </w:r>
    </w:p>
    <w:p w14:paraId="5FFA66A9">
      <w:pPr>
        <w:widowControl/>
        <w:autoSpaceDE w:val="0"/>
        <w:autoSpaceDN w:val="0"/>
        <w:adjustRightInd w:val="0"/>
        <w:spacing w:line="480" w:lineRule="auto"/>
        <w:ind w:firstLine="480"/>
        <w:rPr>
          <w:rStyle w:val="50"/>
          <w:rFonts w:cs="仿宋"/>
          <w:sz w:val="24"/>
          <w:szCs w:val="24"/>
        </w:rPr>
      </w:pPr>
      <w:r>
        <w:rPr>
          <w:rStyle w:val="50"/>
          <w:rFonts w:hint="eastAsia" w:cs="仿宋"/>
          <w:sz w:val="24"/>
          <w:szCs w:val="24"/>
        </w:rPr>
        <w:t>在我方未发出撤销授权委托书的书面通知以前，本授权委托书一直有效。被授权人签署的所有文件（在授权书有效期内签署的）不因授权撤销而失效。</w:t>
      </w:r>
    </w:p>
    <w:p w14:paraId="121F625C">
      <w:pPr>
        <w:widowControl/>
        <w:autoSpaceDE w:val="0"/>
        <w:autoSpaceDN w:val="0"/>
        <w:adjustRightInd w:val="0"/>
        <w:spacing w:line="480" w:lineRule="auto"/>
        <w:ind w:firstLine="480"/>
        <w:rPr>
          <w:rStyle w:val="50"/>
          <w:rFonts w:cs="仿宋"/>
          <w:sz w:val="24"/>
          <w:szCs w:val="24"/>
        </w:rPr>
      </w:pPr>
      <w:r>
        <w:rPr>
          <w:rStyle w:val="50"/>
          <w:rFonts w:hint="eastAsia" w:cs="仿宋"/>
          <w:sz w:val="24"/>
          <w:szCs w:val="24"/>
        </w:rPr>
        <w:t>被授权代表无权转让委托权。特此授权。</w:t>
      </w:r>
    </w:p>
    <w:p w14:paraId="78AB7086">
      <w:pPr>
        <w:widowControl/>
        <w:autoSpaceDE w:val="0"/>
        <w:autoSpaceDN w:val="0"/>
        <w:adjustRightInd w:val="0"/>
        <w:spacing w:line="480" w:lineRule="auto"/>
        <w:ind w:firstLine="480"/>
        <w:rPr>
          <w:rFonts w:ascii="仿宋" w:hAnsi="仿宋" w:eastAsia="仿宋" w:cs="仿宋"/>
          <w:kern w:val="1"/>
          <w:sz w:val="24"/>
          <w:szCs w:val="24"/>
        </w:rPr>
      </w:pPr>
      <w:r>
        <w:rPr>
          <w:rStyle w:val="50"/>
          <w:rFonts w:hint="eastAsia" w:cs="仿宋"/>
          <w:sz w:val="24"/>
          <w:szCs w:val="24"/>
        </w:rPr>
        <w:t>本授权委托书于  年  月  日起签字生效,特此声明。</w:t>
      </w:r>
    </w:p>
    <w:p w14:paraId="79C0371F">
      <w:pPr>
        <w:widowControl/>
        <w:autoSpaceDE w:val="0"/>
        <w:autoSpaceDN w:val="0"/>
        <w:adjustRightInd w:val="0"/>
        <w:spacing w:line="360" w:lineRule="auto"/>
        <w:rPr>
          <w:rFonts w:ascii="仿宋" w:hAnsi="仿宋" w:eastAsia="仿宋" w:cs="仿宋"/>
          <w:kern w:val="1"/>
          <w:sz w:val="24"/>
          <w:szCs w:val="24"/>
        </w:rPr>
      </w:pPr>
    </w:p>
    <w:p w14:paraId="2B536DE9">
      <w:pPr>
        <w:widowControl/>
        <w:autoSpaceDE w:val="0"/>
        <w:autoSpaceDN w:val="0"/>
        <w:adjustRightInd w:val="0"/>
        <w:spacing w:line="360" w:lineRule="auto"/>
        <w:ind w:right="-481"/>
        <w:jc w:val="center"/>
        <w:rPr>
          <w:rFonts w:ascii="仿宋" w:hAnsi="仿宋" w:eastAsia="仿宋" w:cs="仿宋"/>
          <w:kern w:val="1"/>
          <w:sz w:val="24"/>
          <w:szCs w:val="24"/>
        </w:rPr>
      </w:pPr>
      <w:r>
        <w:rPr>
          <w:rFonts w:hint="eastAsia" w:ascii="仿宋" w:hAnsi="仿宋" w:eastAsia="仿宋" w:cs="仿宋"/>
          <w:kern w:val="1"/>
          <w:sz w:val="24"/>
          <w:szCs w:val="24"/>
        </w:rPr>
        <w:t>(附法人代表身份证以及被授权代表身份证复印件)</w:t>
      </w:r>
    </w:p>
    <w:p w14:paraId="0A61337D">
      <w:pPr>
        <w:widowControl/>
        <w:autoSpaceDE w:val="0"/>
        <w:autoSpaceDN w:val="0"/>
        <w:adjustRightInd w:val="0"/>
        <w:spacing w:line="360" w:lineRule="auto"/>
        <w:ind w:right="-481"/>
        <w:jc w:val="center"/>
        <w:rPr>
          <w:rFonts w:ascii="仿宋" w:hAnsi="仿宋" w:eastAsia="仿宋" w:cs="仿宋"/>
          <w:kern w:val="1"/>
          <w:sz w:val="24"/>
          <w:szCs w:val="24"/>
        </w:rPr>
      </w:pPr>
    </w:p>
    <w:p w14:paraId="34BE5252">
      <w:pPr>
        <w:widowControl/>
        <w:autoSpaceDE w:val="0"/>
        <w:autoSpaceDN w:val="0"/>
        <w:adjustRightInd w:val="0"/>
        <w:spacing w:line="360" w:lineRule="auto"/>
        <w:ind w:right="-481"/>
        <w:jc w:val="center"/>
        <w:rPr>
          <w:rFonts w:ascii="仿宋" w:hAnsi="仿宋" w:eastAsia="仿宋" w:cs="仿宋"/>
          <w:kern w:val="1"/>
          <w:sz w:val="24"/>
          <w:szCs w:val="24"/>
        </w:rPr>
      </w:pPr>
    </w:p>
    <w:p w14:paraId="6424FE75">
      <w:pPr>
        <w:widowControl/>
        <w:autoSpaceDE w:val="0"/>
        <w:autoSpaceDN w:val="0"/>
        <w:adjustRightInd w:val="0"/>
        <w:spacing w:line="360" w:lineRule="auto"/>
        <w:ind w:right="-481"/>
        <w:rPr>
          <w:rStyle w:val="50"/>
          <w:rFonts w:cs="仿宋"/>
          <w:sz w:val="24"/>
          <w:szCs w:val="24"/>
        </w:rPr>
      </w:pPr>
      <w:r>
        <w:rPr>
          <w:rStyle w:val="50"/>
          <w:rFonts w:hint="eastAsia" w:cs="仿宋"/>
          <w:sz w:val="24"/>
          <w:szCs w:val="24"/>
        </w:rPr>
        <w:t>被授权代表姓名：             性 别：              年 龄：</w:t>
      </w:r>
    </w:p>
    <w:p w14:paraId="6411FAE6">
      <w:pPr>
        <w:widowControl/>
        <w:autoSpaceDE w:val="0"/>
        <w:autoSpaceDN w:val="0"/>
        <w:adjustRightInd w:val="0"/>
        <w:spacing w:line="360" w:lineRule="auto"/>
        <w:ind w:right="-481"/>
        <w:rPr>
          <w:rStyle w:val="50"/>
          <w:rFonts w:cs="仿宋"/>
          <w:sz w:val="24"/>
          <w:szCs w:val="24"/>
        </w:rPr>
      </w:pPr>
      <w:r>
        <w:rPr>
          <w:rStyle w:val="50"/>
          <w:rFonts w:hint="eastAsia" w:cs="仿宋"/>
          <w:sz w:val="24"/>
          <w:szCs w:val="24"/>
        </w:rPr>
        <w:t>单  位：                     部 门：              职 务：</w:t>
      </w:r>
    </w:p>
    <w:p w14:paraId="25B238CA">
      <w:pPr>
        <w:widowControl/>
        <w:autoSpaceDE w:val="0"/>
        <w:autoSpaceDN w:val="0"/>
        <w:adjustRightInd w:val="0"/>
        <w:spacing w:line="360" w:lineRule="auto"/>
        <w:ind w:right="-481"/>
        <w:rPr>
          <w:rFonts w:ascii="仿宋" w:hAnsi="仿宋" w:eastAsia="仿宋" w:cs="仿宋"/>
          <w:kern w:val="1"/>
          <w:sz w:val="24"/>
          <w:szCs w:val="24"/>
        </w:rPr>
      </w:pPr>
    </w:p>
    <w:p w14:paraId="70B45D70">
      <w:pPr>
        <w:widowControl/>
        <w:autoSpaceDE w:val="0"/>
        <w:autoSpaceDN w:val="0"/>
        <w:adjustRightInd w:val="0"/>
        <w:spacing w:line="360" w:lineRule="auto"/>
        <w:ind w:right="-481" w:firstLine="4320"/>
        <w:rPr>
          <w:rStyle w:val="50"/>
          <w:rFonts w:cs="仿宋"/>
          <w:sz w:val="24"/>
          <w:szCs w:val="24"/>
        </w:rPr>
      </w:pPr>
      <w:r>
        <w:rPr>
          <w:rStyle w:val="50"/>
          <w:rFonts w:hint="eastAsia" w:cs="仿宋"/>
          <w:sz w:val="24"/>
          <w:szCs w:val="24"/>
        </w:rPr>
        <w:t>投标人（公章）：</w:t>
      </w:r>
    </w:p>
    <w:p w14:paraId="60EEAD84">
      <w:pPr>
        <w:widowControl/>
        <w:autoSpaceDE w:val="0"/>
        <w:autoSpaceDN w:val="0"/>
        <w:adjustRightInd w:val="0"/>
        <w:spacing w:line="360" w:lineRule="auto"/>
        <w:ind w:right="-481" w:firstLine="4320"/>
        <w:rPr>
          <w:rStyle w:val="50"/>
          <w:rFonts w:cs="仿宋"/>
          <w:sz w:val="24"/>
          <w:szCs w:val="24"/>
        </w:rPr>
      </w:pPr>
      <w:r>
        <w:rPr>
          <w:rStyle w:val="50"/>
          <w:rFonts w:hint="eastAsia" w:cs="仿宋"/>
          <w:sz w:val="24"/>
          <w:szCs w:val="24"/>
        </w:rPr>
        <w:t>法定代表人（签字）：</w:t>
      </w:r>
    </w:p>
    <w:p w14:paraId="71139D8B">
      <w:pPr>
        <w:widowControl/>
        <w:autoSpaceDE w:val="0"/>
        <w:autoSpaceDN w:val="0"/>
        <w:adjustRightInd w:val="0"/>
        <w:ind w:right="-481" w:firstLine="5400"/>
        <w:rPr>
          <w:rStyle w:val="50"/>
          <w:rFonts w:cs="仿宋"/>
          <w:sz w:val="24"/>
          <w:szCs w:val="24"/>
        </w:rPr>
      </w:pPr>
    </w:p>
    <w:p w14:paraId="27CCEA4F">
      <w:pPr>
        <w:widowControl/>
        <w:autoSpaceDE w:val="0"/>
        <w:autoSpaceDN w:val="0"/>
        <w:adjustRightInd w:val="0"/>
        <w:ind w:right="-481" w:firstLine="5400"/>
        <w:rPr>
          <w:rStyle w:val="50"/>
          <w:rFonts w:cs="仿宋"/>
          <w:sz w:val="24"/>
          <w:szCs w:val="24"/>
        </w:rPr>
      </w:pPr>
      <w:r>
        <w:rPr>
          <w:rStyle w:val="50"/>
          <w:rFonts w:hint="eastAsia" w:cs="仿宋"/>
          <w:sz w:val="24"/>
          <w:szCs w:val="24"/>
        </w:rPr>
        <w:t>日 期：      年   月   日</w:t>
      </w:r>
    </w:p>
    <w:p w14:paraId="395DEC5D">
      <w:pPr>
        <w:widowControl/>
        <w:autoSpaceDE w:val="0"/>
        <w:autoSpaceDN w:val="0"/>
        <w:adjustRightInd w:val="0"/>
        <w:spacing w:line="480" w:lineRule="auto"/>
        <w:ind w:right="-481"/>
        <w:rPr>
          <w:rFonts w:ascii="仿宋" w:hAnsi="仿宋" w:eastAsia="仿宋" w:cs="仿宋"/>
          <w:color w:val="000000"/>
          <w:szCs w:val="21"/>
        </w:rPr>
      </w:pPr>
      <w:bookmarkStart w:id="9" w:name="_GoBack"/>
      <w:bookmarkEnd w:id="9"/>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Heiti SC 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A07D4">
    <w:pPr>
      <w:pStyle w:val="19"/>
      <w:jc w:val="center"/>
      <w:rPr>
        <w:rFonts w:ascii="宋体" w:hAnsi="宋体"/>
      </w:rPr>
    </w:pPr>
    <w:r>
      <w:rPr>
        <w:rFonts w:hint="eastAsia" w:ascii="宋体" w:hAnsi="宋体"/>
      </w:rPr>
      <w:fldChar w:fldCharType="begin"/>
    </w:r>
    <w:r>
      <w:rPr>
        <w:rStyle w:val="30"/>
        <w:rFonts w:hint="eastAsia" w:ascii="宋体" w:hAnsi="宋体"/>
      </w:rPr>
      <w:instrText xml:space="preserve"> PAGE </w:instrText>
    </w:r>
    <w:r>
      <w:rPr>
        <w:rFonts w:hint="eastAsia" w:ascii="宋体" w:hAnsi="宋体"/>
      </w:rPr>
      <w:fldChar w:fldCharType="separate"/>
    </w:r>
    <w:r>
      <w:rPr>
        <w:rStyle w:val="30"/>
        <w:rFonts w:ascii="宋体" w:hAnsi="宋体"/>
      </w:rPr>
      <w:t>33</w:t>
    </w:r>
    <w:r>
      <w:rPr>
        <w:rFonts w:hint="eastAsia" w:ascii="宋体" w:hAnsi="宋体"/>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478F"/>
    <w:rsid w:val="0001067B"/>
    <w:rsid w:val="00016585"/>
    <w:rsid w:val="00020861"/>
    <w:rsid w:val="00022F25"/>
    <w:rsid w:val="0002457D"/>
    <w:rsid w:val="000272D3"/>
    <w:rsid w:val="000302F9"/>
    <w:rsid w:val="0003608C"/>
    <w:rsid w:val="000367E1"/>
    <w:rsid w:val="00036A1C"/>
    <w:rsid w:val="00042AF5"/>
    <w:rsid w:val="00042F12"/>
    <w:rsid w:val="00043B5D"/>
    <w:rsid w:val="000447B7"/>
    <w:rsid w:val="0004725B"/>
    <w:rsid w:val="00052072"/>
    <w:rsid w:val="000526A9"/>
    <w:rsid w:val="00053DEA"/>
    <w:rsid w:val="000545F4"/>
    <w:rsid w:val="00054E4D"/>
    <w:rsid w:val="000552F1"/>
    <w:rsid w:val="000560F0"/>
    <w:rsid w:val="000607C6"/>
    <w:rsid w:val="000627FC"/>
    <w:rsid w:val="000674C9"/>
    <w:rsid w:val="00072639"/>
    <w:rsid w:val="00072DDA"/>
    <w:rsid w:val="00075401"/>
    <w:rsid w:val="000770B1"/>
    <w:rsid w:val="00081413"/>
    <w:rsid w:val="000838DA"/>
    <w:rsid w:val="00084918"/>
    <w:rsid w:val="00085909"/>
    <w:rsid w:val="0008678E"/>
    <w:rsid w:val="00090FB0"/>
    <w:rsid w:val="0009478B"/>
    <w:rsid w:val="0009523B"/>
    <w:rsid w:val="00095E5A"/>
    <w:rsid w:val="000968D0"/>
    <w:rsid w:val="00097584"/>
    <w:rsid w:val="000976AF"/>
    <w:rsid w:val="000A5498"/>
    <w:rsid w:val="000A5DA9"/>
    <w:rsid w:val="000A6840"/>
    <w:rsid w:val="000B6D30"/>
    <w:rsid w:val="000C2D23"/>
    <w:rsid w:val="000C537E"/>
    <w:rsid w:val="000C70FF"/>
    <w:rsid w:val="000C7715"/>
    <w:rsid w:val="000D1DDD"/>
    <w:rsid w:val="000D1ED9"/>
    <w:rsid w:val="000D5EC7"/>
    <w:rsid w:val="000E190C"/>
    <w:rsid w:val="000E4B9A"/>
    <w:rsid w:val="000E4C75"/>
    <w:rsid w:val="000F792E"/>
    <w:rsid w:val="0010179C"/>
    <w:rsid w:val="00113D2D"/>
    <w:rsid w:val="00117EC2"/>
    <w:rsid w:val="00122943"/>
    <w:rsid w:val="001240AA"/>
    <w:rsid w:val="0012476C"/>
    <w:rsid w:val="00127F61"/>
    <w:rsid w:val="00131764"/>
    <w:rsid w:val="00131E20"/>
    <w:rsid w:val="00132F5D"/>
    <w:rsid w:val="00133AFA"/>
    <w:rsid w:val="00133E04"/>
    <w:rsid w:val="00134134"/>
    <w:rsid w:val="00136D33"/>
    <w:rsid w:val="0013735F"/>
    <w:rsid w:val="001404D8"/>
    <w:rsid w:val="00145BB9"/>
    <w:rsid w:val="001513AC"/>
    <w:rsid w:val="00151902"/>
    <w:rsid w:val="00152BDF"/>
    <w:rsid w:val="0015616C"/>
    <w:rsid w:val="001603D5"/>
    <w:rsid w:val="001728A5"/>
    <w:rsid w:val="00175403"/>
    <w:rsid w:val="00182DA6"/>
    <w:rsid w:val="00185BF5"/>
    <w:rsid w:val="00192766"/>
    <w:rsid w:val="00192C98"/>
    <w:rsid w:val="00196957"/>
    <w:rsid w:val="001A541C"/>
    <w:rsid w:val="001A5C43"/>
    <w:rsid w:val="001A66DB"/>
    <w:rsid w:val="001B1D52"/>
    <w:rsid w:val="001B3C10"/>
    <w:rsid w:val="001B7DF1"/>
    <w:rsid w:val="001C071B"/>
    <w:rsid w:val="001C0D47"/>
    <w:rsid w:val="001C1352"/>
    <w:rsid w:val="001C1C78"/>
    <w:rsid w:val="001C381E"/>
    <w:rsid w:val="001D425F"/>
    <w:rsid w:val="001D524E"/>
    <w:rsid w:val="001D5B64"/>
    <w:rsid w:val="001E0D2C"/>
    <w:rsid w:val="001E26D1"/>
    <w:rsid w:val="001E2AB1"/>
    <w:rsid w:val="001E6C66"/>
    <w:rsid w:val="001E7665"/>
    <w:rsid w:val="001F00DE"/>
    <w:rsid w:val="001F3657"/>
    <w:rsid w:val="001F3B6A"/>
    <w:rsid w:val="001F542A"/>
    <w:rsid w:val="001F61EF"/>
    <w:rsid w:val="001F6BF0"/>
    <w:rsid w:val="001F71A8"/>
    <w:rsid w:val="002003F2"/>
    <w:rsid w:val="00202D04"/>
    <w:rsid w:val="002033EC"/>
    <w:rsid w:val="00205D69"/>
    <w:rsid w:val="00207A4A"/>
    <w:rsid w:val="002108AF"/>
    <w:rsid w:val="00211AEE"/>
    <w:rsid w:val="00213C9F"/>
    <w:rsid w:val="002160EE"/>
    <w:rsid w:val="00220411"/>
    <w:rsid w:val="0022191D"/>
    <w:rsid w:val="0022466F"/>
    <w:rsid w:val="00224AC5"/>
    <w:rsid w:val="0022752C"/>
    <w:rsid w:val="0023067C"/>
    <w:rsid w:val="00232F05"/>
    <w:rsid w:val="0023595D"/>
    <w:rsid w:val="00237516"/>
    <w:rsid w:val="00240A94"/>
    <w:rsid w:val="00242804"/>
    <w:rsid w:val="00243D2B"/>
    <w:rsid w:val="002536B7"/>
    <w:rsid w:val="00260811"/>
    <w:rsid w:val="002618C8"/>
    <w:rsid w:val="00262280"/>
    <w:rsid w:val="00262C3D"/>
    <w:rsid w:val="00263EE8"/>
    <w:rsid w:val="00264766"/>
    <w:rsid w:val="00273059"/>
    <w:rsid w:val="00276E15"/>
    <w:rsid w:val="00277738"/>
    <w:rsid w:val="00283CCD"/>
    <w:rsid w:val="00283FAD"/>
    <w:rsid w:val="002845EA"/>
    <w:rsid w:val="002853B0"/>
    <w:rsid w:val="002860EF"/>
    <w:rsid w:val="00286D81"/>
    <w:rsid w:val="002903EF"/>
    <w:rsid w:val="0029173B"/>
    <w:rsid w:val="00291C0F"/>
    <w:rsid w:val="00292E7C"/>
    <w:rsid w:val="00293F02"/>
    <w:rsid w:val="00294078"/>
    <w:rsid w:val="00295ABA"/>
    <w:rsid w:val="00295FA6"/>
    <w:rsid w:val="00296ED2"/>
    <w:rsid w:val="00297F6C"/>
    <w:rsid w:val="002A068C"/>
    <w:rsid w:val="002A1C3E"/>
    <w:rsid w:val="002A29AF"/>
    <w:rsid w:val="002A3AFF"/>
    <w:rsid w:val="002A7FBD"/>
    <w:rsid w:val="002B0079"/>
    <w:rsid w:val="002B018B"/>
    <w:rsid w:val="002B0E43"/>
    <w:rsid w:val="002B346F"/>
    <w:rsid w:val="002B5952"/>
    <w:rsid w:val="002B7D8D"/>
    <w:rsid w:val="002C2504"/>
    <w:rsid w:val="002C6D83"/>
    <w:rsid w:val="002D09AD"/>
    <w:rsid w:val="002D1DD5"/>
    <w:rsid w:val="002D200F"/>
    <w:rsid w:val="002D219D"/>
    <w:rsid w:val="002E1009"/>
    <w:rsid w:val="002E1773"/>
    <w:rsid w:val="002E1C7F"/>
    <w:rsid w:val="002E6073"/>
    <w:rsid w:val="002F33A1"/>
    <w:rsid w:val="002F660C"/>
    <w:rsid w:val="00300FDD"/>
    <w:rsid w:val="00303305"/>
    <w:rsid w:val="003116CC"/>
    <w:rsid w:val="0031396B"/>
    <w:rsid w:val="00313C75"/>
    <w:rsid w:val="00314E29"/>
    <w:rsid w:val="00316770"/>
    <w:rsid w:val="00323887"/>
    <w:rsid w:val="0033014C"/>
    <w:rsid w:val="003305E1"/>
    <w:rsid w:val="00331890"/>
    <w:rsid w:val="00333C73"/>
    <w:rsid w:val="0033579B"/>
    <w:rsid w:val="003357E8"/>
    <w:rsid w:val="00335CFE"/>
    <w:rsid w:val="00337677"/>
    <w:rsid w:val="00342E79"/>
    <w:rsid w:val="00345F3C"/>
    <w:rsid w:val="003465A6"/>
    <w:rsid w:val="0034679D"/>
    <w:rsid w:val="003479B9"/>
    <w:rsid w:val="00351413"/>
    <w:rsid w:val="00355C82"/>
    <w:rsid w:val="0035663E"/>
    <w:rsid w:val="00362414"/>
    <w:rsid w:val="0036243A"/>
    <w:rsid w:val="003635C1"/>
    <w:rsid w:val="00363C6B"/>
    <w:rsid w:val="00363F7A"/>
    <w:rsid w:val="003641AE"/>
    <w:rsid w:val="00367099"/>
    <w:rsid w:val="00367C85"/>
    <w:rsid w:val="00367F1A"/>
    <w:rsid w:val="00381F07"/>
    <w:rsid w:val="0038421F"/>
    <w:rsid w:val="00387815"/>
    <w:rsid w:val="003932CB"/>
    <w:rsid w:val="003961B0"/>
    <w:rsid w:val="003A043D"/>
    <w:rsid w:val="003A2ED6"/>
    <w:rsid w:val="003A2FCF"/>
    <w:rsid w:val="003B3DC1"/>
    <w:rsid w:val="003B5CD9"/>
    <w:rsid w:val="003B6BF5"/>
    <w:rsid w:val="003C1CA6"/>
    <w:rsid w:val="003C3454"/>
    <w:rsid w:val="003C768E"/>
    <w:rsid w:val="003C7982"/>
    <w:rsid w:val="003D3792"/>
    <w:rsid w:val="003D3919"/>
    <w:rsid w:val="003D453E"/>
    <w:rsid w:val="003D4B3A"/>
    <w:rsid w:val="003D5BEE"/>
    <w:rsid w:val="003D630F"/>
    <w:rsid w:val="003D7657"/>
    <w:rsid w:val="003D76E8"/>
    <w:rsid w:val="003E0E26"/>
    <w:rsid w:val="003E2E90"/>
    <w:rsid w:val="003E3685"/>
    <w:rsid w:val="003F031B"/>
    <w:rsid w:val="003F12B4"/>
    <w:rsid w:val="003F20C7"/>
    <w:rsid w:val="003F257E"/>
    <w:rsid w:val="00400F47"/>
    <w:rsid w:val="00402253"/>
    <w:rsid w:val="00404B21"/>
    <w:rsid w:val="004151AA"/>
    <w:rsid w:val="004257AD"/>
    <w:rsid w:val="0043008D"/>
    <w:rsid w:val="00432FB1"/>
    <w:rsid w:val="004359BE"/>
    <w:rsid w:val="00440639"/>
    <w:rsid w:val="00441E4E"/>
    <w:rsid w:val="00452D79"/>
    <w:rsid w:val="00453AB1"/>
    <w:rsid w:val="004630EE"/>
    <w:rsid w:val="00467E31"/>
    <w:rsid w:val="00467FD7"/>
    <w:rsid w:val="00470932"/>
    <w:rsid w:val="00472C74"/>
    <w:rsid w:val="00473D19"/>
    <w:rsid w:val="004744E5"/>
    <w:rsid w:val="00474913"/>
    <w:rsid w:val="00474B72"/>
    <w:rsid w:val="004779E6"/>
    <w:rsid w:val="00480F22"/>
    <w:rsid w:val="00483015"/>
    <w:rsid w:val="00484384"/>
    <w:rsid w:val="00487E08"/>
    <w:rsid w:val="0049087C"/>
    <w:rsid w:val="00491795"/>
    <w:rsid w:val="00493872"/>
    <w:rsid w:val="00493BE4"/>
    <w:rsid w:val="004A08F9"/>
    <w:rsid w:val="004A1B73"/>
    <w:rsid w:val="004A3710"/>
    <w:rsid w:val="004A5841"/>
    <w:rsid w:val="004A5BAF"/>
    <w:rsid w:val="004A641A"/>
    <w:rsid w:val="004B4900"/>
    <w:rsid w:val="004B742C"/>
    <w:rsid w:val="004C00B5"/>
    <w:rsid w:val="004C3BB2"/>
    <w:rsid w:val="004C7D6E"/>
    <w:rsid w:val="004D3BB6"/>
    <w:rsid w:val="004D424D"/>
    <w:rsid w:val="004D670A"/>
    <w:rsid w:val="004D7CB1"/>
    <w:rsid w:val="004E1656"/>
    <w:rsid w:val="004F0787"/>
    <w:rsid w:val="004F2C4F"/>
    <w:rsid w:val="004F3872"/>
    <w:rsid w:val="004F6B1C"/>
    <w:rsid w:val="005021FA"/>
    <w:rsid w:val="005048B8"/>
    <w:rsid w:val="00504BE3"/>
    <w:rsid w:val="00504C34"/>
    <w:rsid w:val="00515EE0"/>
    <w:rsid w:val="0052053B"/>
    <w:rsid w:val="005214C3"/>
    <w:rsid w:val="005239D5"/>
    <w:rsid w:val="00523E66"/>
    <w:rsid w:val="0052406E"/>
    <w:rsid w:val="00525736"/>
    <w:rsid w:val="00537B86"/>
    <w:rsid w:val="00540075"/>
    <w:rsid w:val="005412D5"/>
    <w:rsid w:val="00541D3D"/>
    <w:rsid w:val="0054260D"/>
    <w:rsid w:val="00544E15"/>
    <w:rsid w:val="00544E2E"/>
    <w:rsid w:val="00546F1A"/>
    <w:rsid w:val="0054707D"/>
    <w:rsid w:val="005513A8"/>
    <w:rsid w:val="00552B20"/>
    <w:rsid w:val="00554FF3"/>
    <w:rsid w:val="005551E7"/>
    <w:rsid w:val="005568E3"/>
    <w:rsid w:val="0055718F"/>
    <w:rsid w:val="0056184D"/>
    <w:rsid w:val="005626A3"/>
    <w:rsid w:val="00572BC9"/>
    <w:rsid w:val="00573183"/>
    <w:rsid w:val="00573B08"/>
    <w:rsid w:val="005746A7"/>
    <w:rsid w:val="00574BF6"/>
    <w:rsid w:val="00576B76"/>
    <w:rsid w:val="00580835"/>
    <w:rsid w:val="00582294"/>
    <w:rsid w:val="00583B5E"/>
    <w:rsid w:val="00591523"/>
    <w:rsid w:val="00592288"/>
    <w:rsid w:val="0059465E"/>
    <w:rsid w:val="00595051"/>
    <w:rsid w:val="005A2A75"/>
    <w:rsid w:val="005A2D64"/>
    <w:rsid w:val="005A30C1"/>
    <w:rsid w:val="005A6649"/>
    <w:rsid w:val="005A7B27"/>
    <w:rsid w:val="005B41EE"/>
    <w:rsid w:val="005B47ED"/>
    <w:rsid w:val="005B649A"/>
    <w:rsid w:val="005B78D0"/>
    <w:rsid w:val="005B7E26"/>
    <w:rsid w:val="005C2BC8"/>
    <w:rsid w:val="005C4F59"/>
    <w:rsid w:val="005C50CD"/>
    <w:rsid w:val="005D035A"/>
    <w:rsid w:val="005D2741"/>
    <w:rsid w:val="005D2F66"/>
    <w:rsid w:val="005D4819"/>
    <w:rsid w:val="005D4B98"/>
    <w:rsid w:val="005D5CB6"/>
    <w:rsid w:val="005D615E"/>
    <w:rsid w:val="005E267C"/>
    <w:rsid w:val="005E346F"/>
    <w:rsid w:val="005E42AE"/>
    <w:rsid w:val="005E5378"/>
    <w:rsid w:val="005F23AF"/>
    <w:rsid w:val="005F2E80"/>
    <w:rsid w:val="005F5568"/>
    <w:rsid w:val="005F5903"/>
    <w:rsid w:val="00604407"/>
    <w:rsid w:val="006055AA"/>
    <w:rsid w:val="006055E4"/>
    <w:rsid w:val="006072C0"/>
    <w:rsid w:val="0061768A"/>
    <w:rsid w:val="00623B4D"/>
    <w:rsid w:val="006304B6"/>
    <w:rsid w:val="00630E4B"/>
    <w:rsid w:val="00634545"/>
    <w:rsid w:val="00640CE5"/>
    <w:rsid w:val="0064114C"/>
    <w:rsid w:val="00644707"/>
    <w:rsid w:val="0065009C"/>
    <w:rsid w:val="00654F08"/>
    <w:rsid w:val="0065773D"/>
    <w:rsid w:val="006579B9"/>
    <w:rsid w:val="006602F2"/>
    <w:rsid w:val="006626EF"/>
    <w:rsid w:val="0066419D"/>
    <w:rsid w:val="00671F7C"/>
    <w:rsid w:val="00674656"/>
    <w:rsid w:val="00676C80"/>
    <w:rsid w:val="006818C9"/>
    <w:rsid w:val="006879C7"/>
    <w:rsid w:val="00693E51"/>
    <w:rsid w:val="0069566F"/>
    <w:rsid w:val="00695B00"/>
    <w:rsid w:val="00697E94"/>
    <w:rsid w:val="00697F39"/>
    <w:rsid w:val="006A2250"/>
    <w:rsid w:val="006A5798"/>
    <w:rsid w:val="006A7443"/>
    <w:rsid w:val="006B03C1"/>
    <w:rsid w:val="006B0EDF"/>
    <w:rsid w:val="006B1CD4"/>
    <w:rsid w:val="006B3266"/>
    <w:rsid w:val="006B4991"/>
    <w:rsid w:val="006B4B61"/>
    <w:rsid w:val="006C37FE"/>
    <w:rsid w:val="006C60D4"/>
    <w:rsid w:val="006C6512"/>
    <w:rsid w:val="006C7358"/>
    <w:rsid w:val="006D11AA"/>
    <w:rsid w:val="006D3F3D"/>
    <w:rsid w:val="006D4414"/>
    <w:rsid w:val="006D4BD2"/>
    <w:rsid w:val="006D709B"/>
    <w:rsid w:val="006E2A9D"/>
    <w:rsid w:val="006E3A19"/>
    <w:rsid w:val="006E4F29"/>
    <w:rsid w:val="006E522C"/>
    <w:rsid w:val="006E53F9"/>
    <w:rsid w:val="006F0113"/>
    <w:rsid w:val="006F0BE1"/>
    <w:rsid w:val="006F1896"/>
    <w:rsid w:val="006F2B1A"/>
    <w:rsid w:val="006F31A4"/>
    <w:rsid w:val="006F453C"/>
    <w:rsid w:val="006F4D8A"/>
    <w:rsid w:val="00700EEB"/>
    <w:rsid w:val="00701A4E"/>
    <w:rsid w:val="00702B1A"/>
    <w:rsid w:val="00702E0E"/>
    <w:rsid w:val="00703107"/>
    <w:rsid w:val="00704937"/>
    <w:rsid w:val="00704AF8"/>
    <w:rsid w:val="00704E81"/>
    <w:rsid w:val="00705D12"/>
    <w:rsid w:val="007074CD"/>
    <w:rsid w:val="00720495"/>
    <w:rsid w:val="007226D7"/>
    <w:rsid w:val="00722B15"/>
    <w:rsid w:val="007275DF"/>
    <w:rsid w:val="007313BC"/>
    <w:rsid w:val="0073191D"/>
    <w:rsid w:val="00732220"/>
    <w:rsid w:val="00732EBB"/>
    <w:rsid w:val="007346B7"/>
    <w:rsid w:val="00735862"/>
    <w:rsid w:val="007374FD"/>
    <w:rsid w:val="0074009B"/>
    <w:rsid w:val="00741918"/>
    <w:rsid w:val="007424EF"/>
    <w:rsid w:val="007433AB"/>
    <w:rsid w:val="007458B1"/>
    <w:rsid w:val="007458C0"/>
    <w:rsid w:val="007474A8"/>
    <w:rsid w:val="00753EF1"/>
    <w:rsid w:val="007608CF"/>
    <w:rsid w:val="00761EF6"/>
    <w:rsid w:val="00762CC6"/>
    <w:rsid w:val="00766570"/>
    <w:rsid w:val="0076760C"/>
    <w:rsid w:val="007728DD"/>
    <w:rsid w:val="00776BA0"/>
    <w:rsid w:val="00777632"/>
    <w:rsid w:val="00781D3E"/>
    <w:rsid w:val="00781E18"/>
    <w:rsid w:val="00784B7A"/>
    <w:rsid w:val="007862E0"/>
    <w:rsid w:val="0078632B"/>
    <w:rsid w:val="0078781C"/>
    <w:rsid w:val="0079049E"/>
    <w:rsid w:val="00792235"/>
    <w:rsid w:val="00796013"/>
    <w:rsid w:val="007A0A74"/>
    <w:rsid w:val="007A3ACE"/>
    <w:rsid w:val="007A4DCA"/>
    <w:rsid w:val="007A7017"/>
    <w:rsid w:val="007B36C4"/>
    <w:rsid w:val="007C3902"/>
    <w:rsid w:val="007C585E"/>
    <w:rsid w:val="007C659E"/>
    <w:rsid w:val="007C7BBB"/>
    <w:rsid w:val="007D46E1"/>
    <w:rsid w:val="007E0809"/>
    <w:rsid w:val="007E23A9"/>
    <w:rsid w:val="007E3E59"/>
    <w:rsid w:val="007E534D"/>
    <w:rsid w:val="007E6D3C"/>
    <w:rsid w:val="007F12E4"/>
    <w:rsid w:val="007F1BF4"/>
    <w:rsid w:val="007F33A7"/>
    <w:rsid w:val="007F33DE"/>
    <w:rsid w:val="007F3517"/>
    <w:rsid w:val="007F3EFE"/>
    <w:rsid w:val="007F40F6"/>
    <w:rsid w:val="007F4FC5"/>
    <w:rsid w:val="007F7728"/>
    <w:rsid w:val="007F79EB"/>
    <w:rsid w:val="00800CC3"/>
    <w:rsid w:val="00801E5D"/>
    <w:rsid w:val="00802D58"/>
    <w:rsid w:val="00806EE2"/>
    <w:rsid w:val="00806F5F"/>
    <w:rsid w:val="00807F75"/>
    <w:rsid w:val="0081264D"/>
    <w:rsid w:val="00816BF1"/>
    <w:rsid w:val="00817B5A"/>
    <w:rsid w:val="00817DC5"/>
    <w:rsid w:val="00820BD9"/>
    <w:rsid w:val="00823F49"/>
    <w:rsid w:val="0082492A"/>
    <w:rsid w:val="008263E5"/>
    <w:rsid w:val="0082683A"/>
    <w:rsid w:val="00832346"/>
    <w:rsid w:val="00833E4B"/>
    <w:rsid w:val="008408FD"/>
    <w:rsid w:val="008413FB"/>
    <w:rsid w:val="00841F06"/>
    <w:rsid w:val="00845A2F"/>
    <w:rsid w:val="00846DA4"/>
    <w:rsid w:val="00853371"/>
    <w:rsid w:val="0085643A"/>
    <w:rsid w:val="00860959"/>
    <w:rsid w:val="0086155A"/>
    <w:rsid w:val="008707E3"/>
    <w:rsid w:val="008713B1"/>
    <w:rsid w:val="00874DC7"/>
    <w:rsid w:val="008774CC"/>
    <w:rsid w:val="008774E0"/>
    <w:rsid w:val="00877B65"/>
    <w:rsid w:val="00881009"/>
    <w:rsid w:val="00881F42"/>
    <w:rsid w:val="00882112"/>
    <w:rsid w:val="00884A34"/>
    <w:rsid w:val="00884C58"/>
    <w:rsid w:val="00895112"/>
    <w:rsid w:val="00896052"/>
    <w:rsid w:val="00896E79"/>
    <w:rsid w:val="008A0FED"/>
    <w:rsid w:val="008A3137"/>
    <w:rsid w:val="008B2D7B"/>
    <w:rsid w:val="008B3024"/>
    <w:rsid w:val="008B4923"/>
    <w:rsid w:val="008B54DF"/>
    <w:rsid w:val="008B663B"/>
    <w:rsid w:val="008B6D77"/>
    <w:rsid w:val="008C0220"/>
    <w:rsid w:val="008C3C13"/>
    <w:rsid w:val="008C415E"/>
    <w:rsid w:val="008C4F08"/>
    <w:rsid w:val="008C71D6"/>
    <w:rsid w:val="008C754E"/>
    <w:rsid w:val="008C7DC7"/>
    <w:rsid w:val="008D1D9D"/>
    <w:rsid w:val="008D47B1"/>
    <w:rsid w:val="008D4C70"/>
    <w:rsid w:val="008E1128"/>
    <w:rsid w:val="008E2A10"/>
    <w:rsid w:val="008E66A9"/>
    <w:rsid w:val="008E76A8"/>
    <w:rsid w:val="008F3E4A"/>
    <w:rsid w:val="008F44A1"/>
    <w:rsid w:val="008F50F1"/>
    <w:rsid w:val="008F54BE"/>
    <w:rsid w:val="008F56A9"/>
    <w:rsid w:val="00900D71"/>
    <w:rsid w:val="009047C5"/>
    <w:rsid w:val="00905678"/>
    <w:rsid w:val="009066C2"/>
    <w:rsid w:val="00906B22"/>
    <w:rsid w:val="00906B60"/>
    <w:rsid w:val="0091264D"/>
    <w:rsid w:val="00912F50"/>
    <w:rsid w:val="00913BB9"/>
    <w:rsid w:val="009154F2"/>
    <w:rsid w:val="00916614"/>
    <w:rsid w:val="00921F7A"/>
    <w:rsid w:val="00925CCF"/>
    <w:rsid w:val="009276F6"/>
    <w:rsid w:val="00931ED7"/>
    <w:rsid w:val="00932DDF"/>
    <w:rsid w:val="00934FA6"/>
    <w:rsid w:val="009357A0"/>
    <w:rsid w:val="00935DD1"/>
    <w:rsid w:val="00937DEA"/>
    <w:rsid w:val="00952C6B"/>
    <w:rsid w:val="00961005"/>
    <w:rsid w:val="00962CB1"/>
    <w:rsid w:val="00970E66"/>
    <w:rsid w:val="0097131C"/>
    <w:rsid w:val="00971502"/>
    <w:rsid w:val="009747A7"/>
    <w:rsid w:val="0097540A"/>
    <w:rsid w:val="00976729"/>
    <w:rsid w:val="00982ABC"/>
    <w:rsid w:val="0098536E"/>
    <w:rsid w:val="00987EE0"/>
    <w:rsid w:val="00994A7D"/>
    <w:rsid w:val="0099591F"/>
    <w:rsid w:val="009A18F2"/>
    <w:rsid w:val="009A19EE"/>
    <w:rsid w:val="009A1E9A"/>
    <w:rsid w:val="009A4B15"/>
    <w:rsid w:val="009A6353"/>
    <w:rsid w:val="009B18AC"/>
    <w:rsid w:val="009B19DD"/>
    <w:rsid w:val="009B4609"/>
    <w:rsid w:val="009B5834"/>
    <w:rsid w:val="009B642F"/>
    <w:rsid w:val="009B64A9"/>
    <w:rsid w:val="009C40BF"/>
    <w:rsid w:val="009C567D"/>
    <w:rsid w:val="009C6124"/>
    <w:rsid w:val="009C61A3"/>
    <w:rsid w:val="009D0489"/>
    <w:rsid w:val="009D17D1"/>
    <w:rsid w:val="009D3425"/>
    <w:rsid w:val="009E4C5B"/>
    <w:rsid w:val="009F1260"/>
    <w:rsid w:val="009F1BC8"/>
    <w:rsid w:val="009F2D84"/>
    <w:rsid w:val="009F3772"/>
    <w:rsid w:val="00A01325"/>
    <w:rsid w:val="00A015EC"/>
    <w:rsid w:val="00A017D5"/>
    <w:rsid w:val="00A02866"/>
    <w:rsid w:val="00A03B78"/>
    <w:rsid w:val="00A044FC"/>
    <w:rsid w:val="00A1303E"/>
    <w:rsid w:val="00A302F6"/>
    <w:rsid w:val="00A309C7"/>
    <w:rsid w:val="00A37A91"/>
    <w:rsid w:val="00A37D55"/>
    <w:rsid w:val="00A41A1E"/>
    <w:rsid w:val="00A420E8"/>
    <w:rsid w:val="00A43E34"/>
    <w:rsid w:val="00A46AB4"/>
    <w:rsid w:val="00A50087"/>
    <w:rsid w:val="00A61CF9"/>
    <w:rsid w:val="00A63E21"/>
    <w:rsid w:val="00A65D51"/>
    <w:rsid w:val="00A660C6"/>
    <w:rsid w:val="00A705F5"/>
    <w:rsid w:val="00A73160"/>
    <w:rsid w:val="00A7468D"/>
    <w:rsid w:val="00A769FA"/>
    <w:rsid w:val="00A827F9"/>
    <w:rsid w:val="00A846AC"/>
    <w:rsid w:val="00A8692B"/>
    <w:rsid w:val="00A8765A"/>
    <w:rsid w:val="00A90CA0"/>
    <w:rsid w:val="00A94E5C"/>
    <w:rsid w:val="00A95614"/>
    <w:rsid w:val="00A959C5"/>
    <w:rsid w:val="00A97948"/>
    <w:rsid w:val="00AA25EE"/>
    <w:rsid w:val="00AA3E79"/>
    <w:rsid w:val="00AA46F2"/>
    <w:rsid w:val="00AA66DC"/>
    <w:rsid w:val="00AB0225"/>
    <w:rsid w:val="00AB3301"/>
    <w:rsid w:val="00AB4826"/>
    <w:rsid w:val="00AB5316"/>
    <w:rsid w:val="00AB5710"/>
    <w:rsid w:val="00AB5ADB"/>
    <w:rsid w:val="00AC0427"/>
    <w:rsid w:val="00AC1334"/>
    <w:rsid w:val="00AC1CC4"/>
    <w:rsid w:val="00AC2D6F"/>
    <w:rsid w:val="00AD0B70"/>
    <w:rsid w:val="00AD1EBE"/>
    <w:rsid w:val="00AE7E02"/>
    <w:rsid w:val="00AF0148"/>
    <w:rsid w:val="00AF2122"/>
    <w:rsid w:val="00AF3638"/>
    <w:rsid w:val="00AF4335"/>
    <w:rsid w:val="00AF5569"/>
    <w:rsid w:val="00B007B4"/>
    <w:rsid w:val="00B017A5"/>
    <w:rsid w:val="00B01CF8"/>
    <w:rsid w:val="00B04354"/>
    <w:rsid w:val="00B12660"/>
    <w:rsid w:val="00B14634"/>
    <w:rsid w:val="00B15002"/>
    <w:rsid w:val="00B304CD"/>
    <w:rsid w:val="00B324C4"/>
    <w:rsid w:val="00B37D99"/>
    <w:rsid w:val="00B42F25"/>
    <w:rsid w:val="00B44470"/>
    <w:rsid w:val="00B45590"/>
    <w:rsid w:val="00B537EE"/>
    <w:rsid w:val="00B55FA4"/>
    <w:rsid w:val="00B61C4C"/>
    <w:rsid w:val="00B61E83"/>
    <w:rsid w:val="00B62F9B"/>
    <w:rsid w:val="00B639AE"/>
    <w:rsid w:val="00B6593D"/>
    <w:rsid w:val="00B6636A"/>
    <w:rsid w:val="00B665BC"/>
    <w:rsid w:val="00B66882"/>
    <w:rsid w:val="00B66AEE"/>
    <w:rsid w:val="00B733A8"/>
    <w:rsid w:val="00B73471"/>
    <w:rsid w:val="00B735F7"/>
    <w:rsid w:val="00B73BD1"/>
    <w:rsid w:val="00B75564"/>
    <w:rsid w:val="00B75905"/>
    <w:rsid w:val="00B810DE"/>
    <w:rsid w:val="00B92051"/>
    <w:rsid w:val="00B9215D"/>
    <w:rsid w:val="00B93953"/>
    <w:rsid w:val="00B9500B"/>
    <w:rsid w:val="00B95679"/>
    <w:rsid w:val="00B96A69"/>
    <w:rsid w:val="00B971FB"/>
    <w:rsid w:val="00B97C3E"/>
    <w:rsid w:val="00B97FF7"/>
    <w:rsid w:val="00BA2610"/>
    <w:rsid w:val="00BB22FF"/>
    <w:rsid w:val="00BB3D0F"/>
    <w:rsid w:val="00BB4CE4"/>
    <w:rsid w:val="00BC79B2"/>
    <w:rsid w:val="00BD5BC1"/>
    <w:rsid w:val="00BE00C5"/>
    <w:rsid w:val="00BE0920"/>
    <w:rsid w:val="00BE2D6D"/>
    <w:rsid w:val="00BE621B"/>
    <w:rsid w:val="00BE6886"/>
    <w:rsid w:val="00BF14CE"/>
    <w:rsid w:val="00BF4E2D"/>
    <w:rsid w:val="00BF515D"/>
    <w:rsid w:val="00BF7775"/>
    <w:rsid w:val="00C023D3"/>
    <w:rsid w:val="00C02577"/>
    <w:rsid w:val="00C05EAD"/>
    <w:rsid w:val="00C15659"/>
    <w:rsid w:val="00C15ADF"/>
    <w:rsid w:val="00C166B0"/>
    <w:rsid w:val="00C223E0"/>
    <w:rsid w:val="00C2560F"/>
    <w:rsid w:val="00C35751"/>
    <w:rsid w:val="00C42A14"/>
    <w:rsid w:val="00C4500C"/>
    <w:rsid w:val="00C52A03"/>
    <w:rsid w:val="00C56EC1"/>
    <w:rsid w:val="00C61AF1"/>
    <w:rsid w:val="00C669E1"/>
    <w:rsid w:val="00C71A2C"/>
    <w:rsid w:val="00C761CA"/>
    <w:rsid w:val="00C80296"/>
    <w:rsid w:val="00C80D7D"/>
    <w:rsid w:val="00C83016"/>
    <w:rsid w:val="00C86661"/>
    <w:rsid w:val="00C86BC1"/>
    <w:rsid w:val="00C87B47"/>
    <w:rsid w:val="00C961AB"/>
    <w:rsid w:val="00CA0545"/>
    <w:rsid w:val="00CA0851"/>
    <w:rsid w:val="00CA1546"/>
    <w:rsid w:val="00CB009A"/>
    <w:rsid w:val="00CB05C5"/>
    <w:rsid w:val="00CB3734"/>
    <w:rsid w:val="00CD0434"/>
    <w:rsid w:val="00CD26E9"/>
    <w:rsid w:val="00CD5531"/>
    <w:rsid w:val="00CD61A2"/>
    <w:rsid w:val="00CE6607"/>
    <w:rsid w:val="00CF0F23"/>
    <w:rsid w:val="00CF10C9"/>
    <w:rsid w:val="00CF4C84"/>
    <w:rsid w:val="00D04322"/>
    <w:rsid w:val="00D0525F"/>
    <w:rsid w:val="00D07FC5"/>
    <w:rsid w:val="00D1029C"/>
    <w:rsid w:val="00D108F0"/>
    <w:rsid w:val="00D114F3"/>
    <w:rsid w:val="00D16387"/>
    <w:rsid w:val="00D17AAB"/>
    <w:rsid w:val="00D22118"/>
    <w:rsid w:val="00D25827"/>
    <w:rsid w:val="00D2670F"/>
    <w:rsid w:val="00D30AD8"/>
    <w:rsid w:val="00D40E8E"/>
    <w:rsid w:val="00D43A85"/>
    <w:rsid w:val="00D46EDF"/>
    <w:rsid w:val="00D47DA5"/>
    <w:rsid w:val="00D5244C"/>
    <w:rsid w:val="00D533BC"/>
    <w:rsid w:val="00D53B44"/>
    <w:rsid w:val="00D54E51"/>
    <w:rsid w:val="00D57CA6"/>
    <w:rsid w:val="00D653C0"/>
    <w:rsid w:val="00D65D9C"/>
    <w:rsid w:val="00D67712"/>
    <w:rsid w:val="00D6772D"/>
    <w:rsid w:val="00D7385C"/>
    <w:rsid w:val="00D73E9F"/>
    <w:rsid w:val="00D756BE"/>
    <w:rsid w:val="00D775ED"/>
    <w:rsid w:val="00D80B19"/>
    <w:rsid w:val="00D8104F"/>
    <w:rsid w:val="00D85972"/>
    <w:rsid w:val="00D8598D"/>
    <w:rsid w:val="00D92EC8"/>
    <w:rsid w:val="00D93246"/>
    <w:rsid w:val="00D944BA"/>
    <w:rsid w:val="00D96BD0"/>
    <w:rsid w:val="00DA167B"/>
    <w:rsid w:val="00DA26C9"/>
    <w:rsid w:val="00DA3721"/>
    <w:rsid w:val="00DA491F"/>
    <w:rsid w:val="00DA6925"/>
    <w:rsid w:val="00DA69AF"/>
    <w:rsid w:val="00DA7520"/>
    <w:rsid w:val="00DB130C"/>
    <w:rsid w:val="00DB2CD6"/>
    <w:rsid w:val="00DB725B"/>
    <w:rsid w:val="00DB789D"/>
    <w:rsid w:val="00DC02FE"/>
    <w:rsid w:val="00DC1229"/>
    <w:rsid w:val="00DC47D7"/>
    <w:rsid w:val="00DC70E7"/>
    <w:rsid w:val="00DC76B8"/>
    <w:rsid w:val="00DD1A28"/>
    <w:rsid w:val="00DD3507"/>
    <w:rsid w:val="00DD6054"/>
    <w:rsid w:val="00DE35D1"/>
    <w:rsid w:val="00DE37A2"/>
    <w:rsid w:val="00DE48E7"/>
    <w:rsid w:val="00DF13CF"/>
    <w:rsid w:val="00DF1D79"/>
    <w:rsid w:val="00DF20F7"/>
    <w:rsid w:val="00DF4518"/>
    <w:rsid w:val="00DF617D"/>
    <w:rsid w:val="00E03771"/>
    <w:rsid w:val="00E0474C"/>
    <w:rsid w:val="00E072B7"/>
    <w:rsid w:val="00E11456"/>
    <w:rsid w:val="00E1529A"/>
    <w:rsid w:val="00E16815"/>
    <w:rsid w:val="00E1726F"/>
    <w:rsid w:val="00E204AC"/>
    <w:rsid w:val="00E27521"/>
    <w:rsid w:val="00E34812"/>
    <w:rsid w:val="00E41AE9"/>
    <w:rsid w:val="00E448B5"/>
    <w:rsid w:val="00E5362F"/>
    <w:rsid w:val="00E54D57"/>
    <w:rsid w:val="00E54F29"/>
    <w:rsid w:val="00E56743"/>
    <w:rsid w:val="00E62319"/>
    <w:rsid w:val="00E6487D"/>
    <w:rsid w:val="00E6574B"/>
    <w:rsid w:val="00E66218"/>
    <w:rsid w:val="00E72FC9"/>
    <w:rsid w:val="00E7414F"/>
    <w:rsid w:val="00E7521A"/>
    <w:rsid w:val="00E774AD"/>
    <w:rsid w:val="00E80F07"/>
    <w:rsid w:val="00E81EC3"/>
    <w:rsid w:val="00E8452A"/>
    <w:rsid w:val="00E85255"/>
    <w:rsid w:val="00E860EF"/>
    <w:rsid w:val="00E870AD"/>
    <w:rsid w:val="00E87977"/>
    <w:rsid w:val="00E97545"/>
    <w:rsid w:val="00EA2CF6"/>
    <w:rsid w:val="00EA6202"/>
    <w:rsid w:val="00EB2D5B"/>
    <w:rsid w:val="00EB34DF"/>
    <w:rsid w:val="00EB58F6"/>
    <w:rsid w:val="00EB7BAC"/>
    <w:rsid w:val="00EC29B3"/>
    <w:rsid w:val="00EC48A1"/>
    <w:rsid w:val="00EC4D3C"/>
    <w:rsid w:val="00EC5361"/>
    <w:rsid w:val="00ED2C30"/>
    <w:rsid w:val="00ED4EB6"/>
    <w:rsid w:val="00ED6EF1"/>
    <w:rsid w:val="00ED7A28"/>
    <w:rsid w:val="00EE193E"/>
    <w:rsid w:val="00EE75F7"/>
    <w:rsid w:val="00EF0902"/>
    <w:rsid w:val="00EF4CCE"/>
    <w:rsid w:val="00EF514C"/>
    <w:rsid w:val="00EF7881"/>
    <w:rsid w:val="00EF7E02"/>
    <w:rsid w:val="00F009A1"/>
    <w:rsid w:val="00F00A3F"/>
    <w:rsid w:val="00F05317"/>
    <w:rsid w:val="00F06AA8"/>
    <w:rsid w:val="00F11146"/>
    <w:rsid w:val="00F162E5"/>
    <w:rsid w:val="00F168A3"/>
    <w:rsid w:val="00F20008"/>
    <w:rsid w:val="00F22CE5"/>
    <w:rsid w:val="00F249C2"/>
    <w:rsid w:val="00F25274"/>
    <w:rsid w:val="00F30D97"/>
    <w:rsid w:val="00F370F7"/>
    <w:rsid w:val="00F43F0D"/>
    <w:rsid w:val="00F447BD"/>
    <w:rsid w:val="00F46097"/>
    <w:rsid w:val="00F511F6"/>
    <w:rsid w:val="00F51DE2"/>
    <w:rsid w:val="00F52FAF"/>
    <w:rsid w:val="00F53EC3"/>
    <w:rsid w:val="00F554E8"/>
    <w:rsid w:val="00F575AD"/>
    <w:rsid w:val="00F652AC"/>
    <w:rsid w:val="00F65BAF"/>
    <w:rsid w:val="00F66195"/>
    <w:rsid w:val="00F665AB"/>
    <w:rsid w:val="00F75558"/>
    <w:rsid w:val="00F75C54"/>
    <w:rsid w:val="00F77769"/>
    <w:rsid w:val="00F77C8D"/>
    <w:rsid w:val="00F8063A"/>
    <w:rsid w:val="00F820A0"/>
    <w:rsid w:val="00F8272D"/>
    <w:rsid w:val="00F82866"/>
    <w:rsid w:val="00F83661"/>
    <w:rsid w:val="00F93739"/>
    <w:rsid w:val="00FA7122"/>
    <w:rsid w:val="00FB15EB"/>
    <w:rsid w:val="00FB1AFB"/>
    <w:rsid w:val="00FB2C1B"/>
    <w:rsid w:val="00FB4201"/>
    <w:rsid w:val="00FC177B"/>
    <w:rsid w:val="00FC2642"/>
    <w:rsid w:val="00FC6A6F"/>
    <w:rsid w:val="00FD0807"/>
    <w:rsid w:val="00FD0DD5"/>
    <w:rsid w:val="00FD4063"/>
    <w:rsid w:val="00FD6813"/>
    <w:rsid w:val="00FE01D9"/>
    <w:rsid w:val="00FE30F2"/>
    <w:rsid w:val="00FE3802"/>
    <w:rsid w:val="00FE699B"/>
    <w:rsid w:val="00FF44DD"/>
    <w:rsid w:val="00FF580C"/>
    <w:rsid w:val="00FF6C46"/>
    <w:rsid w:val="00FF7504"/>
    <w:rsid w:val="00FF7FE3"/>
    <w:rsid w:val="01AF5332"/>
    <w:rsid w:val="01DC6C89"/>
    <w:rsid w:val="0334789D"/>
    <w:rsid w:val="05B52C99"/>
    <w:rsid w:val="060A5E1C"/>
    <w:rsid w:val="06C25775"/>
    <w:rsid w:val="06F55595"/>
    <w:rsid w:val="06F627A4"/>
    <w:rsid w:val="079914CF"/>
    <w:rsid w:val="08470D5B"/>
    <w:rsid w:val="093A12E4"/>
    <w:rsid w:val="0B903ADE"/>
    <w:rsid w:val="0C667EA6"/>
    <w:rsid w:val="0D2B7CDC"/>
    <w:rsid w:val="0F062495"/>
    <w:rsid w:val="0F447F1C"/>
    <w:rsid w:val="10F776B0"/>
    <w:rsid w:val="122136E2"/>
    <w:rsid w:val="124048B1"/>
    <w:rsid w:val="12F40DF6"/>
    <w:rsid w:val="13053004"/>
    <w:rsid w:val="147F2942"/>
    <w:rsid w:val="14A63ABE"/>
    <w:rsid w:val="14CD7B51"/>
    <w:rsid w:val="156D4658"/>
    <w:rsid w:val="15CC04BD"/>
    <w:rsid w:val="19067AD5"/>
    <w:rsid w:val="19B018D7"/>
    <w:rsid w:val="19F1668A"/>
    <w:rsid w:val="19FD594D"/>
    <w:rsid w:val="1AE6731E"/>
    <w:rsid w:val="1B9958F1"/>
    <w:rsid w:val="1DAD523E"/>
    <w:rsid w:val="1DCD6AB3"/>
    <w:rsid w:val="21A734D8"/>
    <w:rsid w:val="225C2514"/>
    <w:rsid w:val="22753E21"/>
    <w:rsid w:val="23405992"/>
    <w:rsid w:val="23E0478E"/>
    <w:rsid w:val="24C43A2C"/>
    <w:rsid w:val="25883A2D"/>
    <w:rsid w:val="25BA194F"/>
    <w:rsid w:val="26C52111"/>
    <w:rsid w:val="27E76110"/>
    <w:rsid w:val="29134428"/>
    <w:rsid w:val="298D2216"/>
    <w:rsid w:val="2AB9711D"/>
    <w:rsid w:val="2B2937A5"/>
    <w:rsid w:val="2B60487E"/>
    <w:rsid w:val="2B743D8D"/>
    <w:rsid w:val="2C941296"/>
    <w:rsid w:val="2DEF26D6"/>
    <w:rsid w:val="30C45E54"/>
    <w:rsid w:val="30C46FA8"/>
    <w:rsid w:val="32586854"/>
    <w:rsid w:val="367810B3"/>
    <w:rsid w:val="37E94405"/>
    <w:rsid w:val="3B1632FF"/>
    <w:rsid w:val="3B280B51"/>
    <w:rsid w:val="3B466628"/>
    <w:rsid w:val="3CF17658"/>
    <w:rsid w:val="3F1267A3"/>
    <w:rsid w:val="3F4516BE"/>
    <w:rsid w:val="3FDC63BD"/>
    <w:rsid w:val="408F1FDB"/>
    <w:rsid w:val="455459C3"/>
    <w:rsid w:val="455F6E02"/>
    <w:rsid w:val="45D7020D"/>
    <w:rsid w:val="464507E7"/>
    <w:rsid w:val="485360C8"/>
    <w:rsid w:val="49320D4E"/>
    <w:rsid w:val="4B3C78A4"/>
    <w:rsid w:val="4C063CE7"/>
    <w:rsid w:val="4D032506"/>
    <w:rsid w:val="4D904369"/>
    <w:rsid w:val="4E112440"/>
    <w:rsid w:val="4E2D31EF"/>
    <w:rsid w:val="4E3253AA"/>
    <w:rsid w:val="4F2C11EB"/>
    <w:rsid w:val="506863A4"/>
    <w:rsid w:val="510C5E54"/>
    <w:rsid w:val="518B68B4"/>
    <w:rsid w:val="52216A9B"/>
    <w:rsid w:val="52427E13"/>
    <w:rsid w:val="52DB271E"/>
    <w:rsid w:val="531609B9"/>
    <w:rsid w:val="533B2535"/>
    <w:rsid w:val="53795887"/>
    <w:rsid w:val="537E3CF6"/>
    <w:rsid w:val="541360A4"/>
    <w:rsid w:val="549D3CDB"/>
    <w:rsid w:val="56116B96"/>
    <w:rsid w:val="57264039"/>
    <w:rsid w:val="592D6E08"/>
    <w:rsid w:val="59943EF2"/>
    <w:rsid w:val="59E1039E"/>
    <w:rsid w:val="59EB7D9E"/>
    <w:rsid w:val="59FA3570"/>
    <w:rsid w:val="5AB3403C"/>
    <w:rsid w:val="5ADE61AD"/>
    <w:rsid w:val="5B9A25B0"/>
    <w:rsid w:val="5C82428E"/>
    <w:rsid w:val="5F251B4F"/>
    <w:rsid w:val="5F455E33"/>
    <w:rsid w:val="5FAC475D"/>
    <w:rsid w:val="61E075AC"/>
    <w:rsid w:val="63314CFF"/>
    <w:rsid w:val="646F1658"/>
    <w:rsid w:val="6744122C"/>
    <w:rsid w:val="67674876"/>
    <w:rsid w:val="68D10094"/>
    <w:rsid w:val="69025CC1"/>
    <w:rsid w:val="69BB0E9B"/>
    <w:rsid w:val="6A2829D5"/>
    <w:rsid w:val="6AED3083"/>
    <w:rsid w:val="6B766832"/>
    <w:rsid w:val="6C2F5391"/>
    <w:rsid w:val="6CA16A6E"/>
    <w:rsid w:val="6F71487E"/>
    <w:rsid w:val="702A0B29"/>
    <w:rsid w:val="70CD38F9"/>
    <w:rsid w:val="70D0194C"/>
    <w:rsid w:val="712E2167"/>
    <w:rsid w:val="719C7804"/>
    <w:rsid w:val="72FF629D"/>
    <w:rsid w:val="73DD76C0"/>
    <w:rsid w:val="7417077D"/>
    <w:rsid w:val="74452A91"/>
    <w:rsid w:val="74A803CF"/>
    <w:rsid w:val="75080D74"/>
    <w:rsid w:val="75583381"/>
    <w:rsid w:val="76D40B24"/>
    <w:rsid w:val="77BE6055"/>
    <w:rsid w:val="7CE359F9"/>
    <w:rsid w:val="7D9F519D"/>
    <w:rsid w:val="7DAD46A6"/>
    <w:rsid w:val="7EA65173"/>
    <w:rsid w:val="7EF02F3D"/>
    <w:rsid w:val="7F6E56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6"/>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semiHidden/>
    <w:qFormat/>
    <w:uiPriority w:val="0"/>
    <w:pPr>
      <w:spacing w:before="120"/>
    </w:pPr>
    <w:rPr>
      <w:rFonts w:ascii="Arial" w:hAnsi="Arial" w:cs="Arial"/>
      <w:sz w:val="24"/>
      <w:szCs w:val="24"/>
    </w:rPr>
  </w:style>
  <w:style w:type="paragraph" w:styleId="8">
    <w:name w:val="List 3"/>
    <w:basedOn w:val="1"/>
    <w:qFormat/>
    <w:uiPriority w:val="0"/>
    <w:pPr>
      <w:ind w:left="1260" w:hanging="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qFormat/>
    <w:uiPriority w:val="0"/>
    <w:pPr>
      <w:shd w:val="clear" w:color="auto" w:fill="000080"/>
    </w:pPr>
    <w:rPr>
      <w:rFonts w:ascii="Cambria" w:hAnsi="Cambria"/>
      <w:sz w:val="24"/>
      <w:szCs w:val="24"/>
    </w:rPr>
  </w:style>
  <w:style w:type="paragraph" w:styleId="11">
    <w:name w:val="annotation text"/>
    <w:basedOn w:val="1"/>
    <w:link w:val="37"/>
    <w:unhideWhenUsed/>
    <w:qFormat/>
    <w:uiPriority w:val="99"/>
    <w:pPr>
      <w:jc w:val="left"/>
    </w:pPr>
  </w:style>
  <w:style w:type="paragraph" w:styleId="12">
    <w:name w:val="Body Text 3"/>
    <w:basedOn w:val="1"/>
    <w:link w:val="38"/>
    <w:unhideWhenUsed/>
    <w:qFormat/>
    <w:uiPriority w:val="99"/>
    <w:pPr>
      <w:spacing w:after="120"/>
    </w:pPr>
    <w:rPr>
      <w:sz w:val="16"/>
      <w:szCs w:val="16"/>
    </w:rPr>
  </w:style>
  <w:style w:type="paragraph" w:styleId="13">
    <w:name w:val="Body Text"/>
    <w:basedOn w:val="1"/>
    <w:qFormat/>
    <w:uiPriority w:val="1"/>
    <w:rPr>
      <w:rFonts w:ascii="黑体" w:hAnsi="黑体" w:eastAsia="黑体" w:cs="黑体"/>
      <w:szCs w:val="21"/>
      <w:lang w:val="zh-CN" w:bidi="zh-CN"/>
    </w:rPr>
  </w:style>
  <w:style w:type="paragraph" w:styleId="14">
    <w:name w:val="Body Text Indent"/>
    <w:basedOn w:val="1"/>
    <w:qFormat/>
    <w:uiPriority w:val="0"/>
    <w:pPr>
      <w:spacing w:after="120"/>
      <w:ind w:left="420" w:leftChars="200"/>
    </w:pPr>
    <w:rPr>
      <w:rFonts w:eastAsia="Times New Roman"/>
      <w:kern w:val="0"/>
      <w:sz w:val="20"/>
      <w:szCs w:val="21"/>
    </w:rPr>
  </w:style>
  <w:style w:type="paragraph" w:styleId="15">
    <w:name w:val="toc 3"/>
    <w:basedOn w:val="1"/>
    <w:next w:val="1"/>
    <w:unhideWhenUsed/>
    <w:qFormat/>
    <w:uiPriority w:val="39"/>
    <w:pPr>
      <w:ind w:left="840" w:leftChars="400"/>
    </w:pPr>
  </w:style>
  <w:style w:type="paragraph" w:styleId="16">
    <w:name w:val="Plain Text"/>
    <w:basedOn w:val="1"/>
    <w:link w:val="39"/>
    <w:qFormat/>
    <w:uiPriority w:val="0"/>
    <w:rPr>
      <w:rFonts w:ascii="宋体" w:hAnsi="Courier New"/>
      <w:sz w:val="24"/>
      <w:szCs w:val="20"/>
    </w:rPr>
  </w:style>
  <w:style w:type="paragraph" w:styleId="17">
    <w:name w:val="Date"/>
    <w:basedOn w:val="1"/>
    <w:next w:val="1"/>
    <w:link w:val="40"/>
    <w:unhideWhenUsed/>
    <w:qFormat/>
    <w:uiPriority w:val="99"/>
    <w:pPr>
      <w:ind w:left="100" w:leftChars="2500"/>
    </w:pPr>
  </w:style>
  <w:style w:type="paragraph" w:styleId="18">
    <w:name w:val="Balloon Text"/>
    <w:basedOn w:val="1"/>
    <w:link w:val="41"/>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List"/>
    <w:basedOn w:val="1"/>
    <w:semiHidden/>
    <w:unhideWhenUsed/>
    <w:qFormat/>
    <w:uiPriority w:val="99"/>
    <w:pPr>
      <w:ind w:left="200" w:hanging="200" w:hangingChars="200"/>
      <w:contextualSpacing/>
    </w:pPr>
  </w:style>
  <w:style w:type="paragraph" w:styleId="23">
    <w:name w:val="toc 2"/>
    <w:basedOn w:val="1"/>
    <w:next w:val="1"/>
    <w:unhideWhenUsed/>
    <w:qFormat/>
    <w:uiPriority w:val="39"/>
    <w:pPr>
      <w:ind w:left="420" w:leftChars="200"/>
    </w:p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4"/>
    <w:qFormat/>
    <w:uiPriority w:val="10"/>
    <w:pPr>
      <w:spacing w:before="240" w:after="60"/>
      <w:jc w:val="center"/>
      <w:outlineLvl w:val="0"/>
    </w:pPr>
    <w:rPr>
      <w:rFonts w:ascii="Cambria" w:hAnsi="Cambria"/>
      <w:b/>
      <w:bCs/>
      <w:sz w:val="32"/>
      <w:szCs w:val="32"/>
    </w:rPr>
  </w:style>
  <w:style w:type="paragraph" w:styleId="26">
    <w:name w:val="annotation subject"/>
    <w:basedOn w:val="11"/>
    <w:next w:val="11"/>
    <w:link w:val="45"/>
    <w:autoRedefine/>
    <w:unhideWhenUsed/>
    <w:qFormat/>
    <w:uiPriority w:val="99"/>
    <w:rPr>
      <w:b/>
      <w:bCs/>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autoRedefine/>
    <w:unhideWhenUsed/>
    <w:qFormat/>
    <w:uiPriority w:val="0"/>
    <w:rPr>
      <w:rFonts w:cs="Times New Roman"/>
    </w:rPr>
  </w:style>
  <w:style w:type="character" w:styleId="31">
    <w:name w:val="FollowedHyperlink"/>
    <w:autoRedefine/>
    <w:qFormat/>
    <w:uiPriority w:val="99"/>
    <w:rPr>
      <w:color w:val="800080"/>
      <w:u w:val="single"/>
    </w:rPr>
  </w:style>
  <w:style w:type="character" w:styleId="32">
    <w:name w:val="Hyperlink"/>
    <w:unhideWhenUsed/>
    <w:qFormat/>
    <w:uiPriority w:val="99"/>
    <w:rPr>
      <w:color w:val="0563C1"/>
      <w:u w:val="single"/>
    </w:rPr>
  </w:style>
  <w:style w:type="character" w:styleId="33">
    <w:name w:val="annotation reference"/>
    <w:unhideWhenUsed/>
    <w:qFormat/>
    <w:uiPriority w:val="99"/>
    <w:rPr>
      <w:sz w:val="21"/>
      <w:szCs w:val="21"/>
    </w:rPr>
  </w:style>
  <w:style w:type="character" w:customStyle="1" w:styleId="34">
    <w:name w:val="标题 3 Char"/>
    <w:link w:val="5"/>
    <w:qFormat/>
    <w:locked/>
    <w:uiPriority w:val="0"/>
    <w:rPr>
      <w:rFonts w:ascii="Calibri" w:hAnsi="Calibri" w:eastAsia="仿宋"/>
      <w:b/>
      <w:bCs/>
      <w:kern w:val="2"/>
      <w:sz w:val="32"/>
      <w:szCs w:val="32"/>
      <w:lang w:val="en-US" w:eastAsia="zh-CN" w:bidi="ar-SA"/>
    </w:rPr>
  </w:style>
  <w:style w:type="character" w:customStyle="1" w:styleId="35">
    <w:name w:val="标题 4 Char"/>
    <w:basedOn w:val="29"/>
    <w:link w:val="6"/>
    <w:semiHidden/>
    <w:qFormat/>
    <w:uiPriority w:val="9"/>
    <w:rPr>
      <w:rFonts w:asciiTheme="majorHAnsi" w:hAnsiTheme="majorHAnsi" w:eastAsiaTheme="majorEastAsia" w:cstheme="majorBidi"/>
      <w:b/>
      <w:bCs/>
      <w:kern w:val="2"/>
      <w:sz w:val="28"/>
      <w:szCs w:val="28"/>
    </w:rPr>
  </w:style>
  <w:style w:type="character" w:customStyle="1" w:styleId="36">
    <w:name w:val="标题 5 Char"/>
    <w:basedOn w:val="29"/>
    <w:link w:val="7"/>
    <w:semiHidden/>
    <w:qFormat/>
    <w:uiPriority w:val="9"/>
    <w:rPr>
      <w:b/>
      <w:bCs/>
      <w:kern w:val="2"/>
      <w:sz w:val="28"/>
      <w:szCs w:val="28"/>
    </w:rPr>
  </w:style>
  <w:style w:type="character" w:customStyle="1" w:styleId="37">
    <w:name w:val="批注文字 Char"/>
    <w:link w:val="11"/>
    <w:semiHidden/>
    <w:qFormat/>
    <w:uiPriority w:val="99"/>
    <w:rPr>
      <w:kern w:val="2"/>
      <w:sz w:val="21"/>
      <w:szCs w:val="22"/>
    </w:rPr>
  </w:style>
  <w:style w:type="character" w:customStyle="1" w:styleId="38">
    <w:name w:val="正文文本 3 Char"/>
    <w:link w:val="12"/>
    <w:semiHidden/>
    <w:qFormat/>
    <w:uiPriority w:val="99"/>
    <w:rPr>
      <w:kern w:val="2"/>
      <w:sz w:val="16"/>
      <w:szCs w:val="16"/>
    </w:rPr>
  </w:style>
  <w:style w:type="character" w:customStyle="1" w:styleId="39">
    <w:name w:val="纯文本 Char1"/>
    <w:link w:val="16"/>
    <w:autoRedefine/>
    <w:qFormat/>
    <w:locked/>
    <w:uiPriority w:val="0"/>
    <w:rPr>
      <w:rFonts w:ascii="宋体" w:hAnsi="Courier New"/>
      <w:kern w:val="2"/>
      <w:sz w:val="24"/>
    </w:rPr>
  </w:style>
  <w:style w:type="character" w:customStyle="1" w:styleId="40">
    <w:name w:val="日期 Char"/>
    <w:link w:val="17"/>
    <w:autoRedefine/>
    <w:semiHidden/>
    <w:qFormat/>
    <w:uiPriority w:val="99"/>
    <w:rPr>
      <w:kern w:val="2"/>
      <w:sz w:val="21"/>
      <w:szCs w:val="22"/>
    </w:rPr>
  </w:style>
  <w:style w:type="character" w:customStyle="1" w:styleId="41">
    <w:name w:val="批注框文本 Char"/>
    <w:link w:val="18"/>
    <w:semiHidden/>
    <w:qFormat/>
    <w:uiPriority w:val="99"/>
    <w:rPr>
      <w:kern w:val="2"/>
      <w:sz w:val="18"/>
      <w:szCs w:val="18"/>
    </w:rPr>
  </w:style>
  <w:style w:type="character" w:customStyle="1" w:styleId="42">
    <w:name w:val="页脚 Char"/>
    <w:link w:val="19"/>
    <w:autoRedefine/>
    <w:qFormat/>
    <w:uiPriority w:val="99"/>
    <w:rPr>
      <w:kern w:val="2"/>
      <w:sz w:val="18"/>
      <w:szCs w:val="18"/>
    </w:rPr>
  </w:style>
  <w:style w:type="character" w:customStyle="1" w:styleId="43">
    <w:name w:val="页眉 Char"/>
    <w:link w:val="20"/>
    <w:qFormat/>
    <w:uiPriority w:val="99"/>
    <w:rPr>
      <w:kern w:val="2"/>
      <w:sz w:val="18"/>
      <w:szCs w:val="18"/>
    </w:rPr>
  </w:style>
  <w:style w:type="character" w:customStyle="1" w:styleId="44">
    <w:name w:val="标题 Char"/>
    <w:link w:val="25"/>
    <w:autoRedefine/>
    <w:qFormat/>
    <w:uiPriority w:val="0"/>
    <w:rPr>
      <w:rFonts w:ascii="Cambria" w:hAnsi="Cambria" w:eastAsia="宋体"/>
      <w:b/>
      <w:bCs/>
      <w:kern w:val="2"/>
      <w:sz w:val="32"/>
      <w:szCs w:val="32"/>
      <w:lang w:val="en-US" w:eastAsia="zh-CN" w:bidi="ar-SA"/>
    </w:rPr>
  </w:style>
  <w:style w:type="character" w:customStyle="1" w:styleId="45">
    <w:name w:val="批注主题 Char"/>
    <w:link w:val="26"/>
    <w:autoRedefine/>
    <w:semiHidden/>
    <w:qFormat/>
    <w:uiPriority w:val="99"/>
    <w:rPr>
      <w:b/>
      <w:bCs/>
      <w:kern w:val="2"/>
      <w:sz w:val="21"/>
      <w:szCs w:val="22"/>
    </w:rPr>
  </w:style>
  <w:style w:type="paragraph" w:customStyle="1" w:styleId="46">
    <w:name w:val="_Style 37"/>
    <w:basedOn w:val="1"/>
    <w:semiHidden/>
    <w:qFormat/>
    <w:uiPriority w:val="0"/>
    <w:pPr>
      <w:spacing w:line="360" w:lineRule="auto"/>
      <w:ind w:firstLine="200" w:firstLineChars="200"/>
    </w:pPr>
    <w:rPr>
      <w:rFonts w:ascii="宋体" w:hAnsi="宋体" w:cs="宋体"/>
      <w:sz w:val="24"/>
      <w:szCs w:val="24"/>
    </w:rPr>
  </w:style>
  <w:style w:type="character" w:customStyle="1" w:styleId="47">
    <w:name w:val="楷体 (中文) 楷体"/>
    <w:qFormat/>
    <w:uiPriority w:val="0"/>
    <w:rPr>
      <w:rFonts w:ascii="楷体" w:hAnsi="楷体" w:eastAsia="楷体"/>
      <w:kern w:val="1"/>
      <w:sz w:val="28"/>
    </w:rPr>
  </w:style>
  <w:style w:type="character" w:customStyle="1" w:styleId="48">
    <w:name w:val="Char Char3"/>
    <w:qFormat/>
    <w:uiPriority w:val="0"/>
    <w:rPr>
      <w:rFonts w:eastAsia="仿宋_GB2312"/>
      <w:kern w:val="2"/>
      <w:sz w:val="18"/>
      <w:szCs w:val="18"/>
      <w:lang w:bidi="ar-SA"/>
    </w:rPr>
  </w:style>
  <w:style w:type="character" w:customStyle="1" w:styleId="49">
    <w:name w:val="访问过的超链接1"/>
    <w:autoRedefine/>
    <w:qFormat/>
    <w:uiPriority w:val="99"/>
    <w:rPr>
      <w:color w:val="800080"/>
      <w:u w:val="single"/>
    </w:rPr>
  </w:style>
  <w:style w:type="character" w:customStyle="1" w:styleId="50">
    <w:name w:val="样式 仿宋"/>
    <w:qFormat/>
    <w:uiPriority w:val="0"/>
    <w:rPr>
      <w:rFonts w:ascii="仿宋" w:hAnsi="仿宋" w:eastAsia="仿宋"/>
      <w:kern w:val="1"/>
    </w:rPr>
  </w:style>
  <w:style w:type="character" w:customStyle="1" w:styleId="51">
    <w:name w:val="Char Char2"/>
    <w:autoRedefine/>
    <w:qFormat/>
    <w:uiPriority w:val="0"/>
    <w:rPr>
      <w:rFonts w:eastAsia="仿宋_GB2312"/>
      <w:kern w:val="2"/>
      <w:sz w:val="18"/>
      <w:szCs w:val="18"/>
      <w:lang w:bidi="ar-SA"/>
    </w:rPr>
  </w:style>
  <w:style w:type="character" w:customStyle="1" w:styleId="52">
    <w:name w:val="正文文本缩进 Char1"/>
    <w:autoRedefine/>
    <w:qFormat/>
    <w:uiPriority w:val="0"/>
    <w:rPr>
      <w:rFonts w:ascii="Cambria" w:hAnsi="Cambria"/>
      <w:kern w:val="2"/>
      <w:sz w:val="24"/>
      <w:szCs w:val="24"/>
    </w:rPr>
  </w:style>
  <w:style w:type="character" w:customStyle="1" w:styleId="53">
    <w:name w:val="纯文本 Char"/>
    <w:autoRedefine/>
    <w:qFormat/>
    <w:uiPriority w:val="0"/>
    <w:rPr>
      <w:rFonts w:ascii="宋体" w:hAnsi="Courier New" w:cs="Courier New"/>
      <w:kern w:val="2"/>
      <w:sz w:val="21"/>
      <w:szCs w:val="21"/>
    </w:rPr>
  </w:style>
  <w:style w:type="character" w:customStyle="1" w:styleId="54">
    <w:name w:val="Char Char1"/>
    <w:autoRedefine/>
    <w:qFormat/>
    <w:uiPriority w:val="0"/>
    <w:rPr>
      <w:rFonts w:eastAsia="仿宋_GB2312"/>
      <w:kern w:val="2"/>
      <w:sz w:val="18"/>
      <w:szCs w:val="18"/>
      <w:lang w:bidi="ar-SA"/>
    </w:rPr>
  </w:style>
  <w:style w:type="paragraph" w:customStyle="1" w:styleId="55">
    <w:name w:val="列出段落1"/>
    <w:basedOn w:val="1"/>
    <w:qFormat/>
    <w:uiPriority w:val="0"/>
    <w:pPr>
      <w:ind w:firstLine="420" w:firstLineChars="200"/>
    </w:pPr>
    <w:rPr>
      <w:szCs w:val="21"/>
    </w:rPr>
  </w:style>
  <w:style w:type="paragraph" w:customStyle="1" w:styleId="56">
    <w:name w:val="样式 标题 1 + (西文) 黑体 (中文) 黑体 小三 蓝色"/>
    <w:basedOn w:val="2"/>
    <w:qFormat/>
    <w:uiPriority w:val="0"/>
    <w:rPr>
      <w:rFonts w:ascii="黑体" w:hAnsi="黑体" w:eastAsia="黑体"/>
      <w:sz w:val="30"/>
      <w:u w:color="0000FF"/>
    </w:rPr>
  </w:style>
  <w:style w:type="paragraph" w:customStyle="1" w:styleId="57">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8">
    <w:name w:val="样式 样式 标题 1 + (西文) 黑体 (中文) 黑体 小三 蓝色 + 非加粗 居中"/>
    <w:basedOn w:val="56"/>
    <w:qFormat/>
    <w:uiPriority w:val="0"/>
    <w:pPr>
      <w:jc w:val="center"/>
    </w:pPr>
    <w:rPr>
      <w:rFonts w:cs="宋体"/>
      <w:b w:val="0"/>
      <w:bCs w:val="0"/>
      <w:szCs w:val="20"/>
    </w:rPr>
  </w:style>
  <w:style w:type="paragraph" w:customStyle="1" w:styleId="59">
    <w:name w:val="Char Char Char1 Char"/>
    <w:basedOn w:val="1"/>
    <w:semiHidden/>
    <w:qFormat/>
    <w:uiPriority w:val="0"/>
    <w:pPr>
      <w:spacing w:line="360" w:lineRule="auto"/>
      <w:ind w:firstLine="200" w:firstLineChars="200"/>
    </w:pPr>
    <w:rPr>
      <w:rFonts w:ascii="宋体" w:hAnsi="宋体" w:cs="宋体"/>
      <w:sz w:val="24"/>
      <w:szCs w:val="24"/>
    </w:rPr>
  </w:style>
  <w:style w:type="paragraph" w:customStyle="1" w:styleId="60">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1">
    <w:name w:val="样式 仿宋 行距: 1.5 倍行距"/>
    <w:basedOn w:val="1"/>
    <w:qFormat/>
    <w:uiPriority w:val="0"/>
    <w:pPr>
      <w:spacing w:line="360" w:lineRule="auto"/>
    </w:pPr>
    <w:rPr>
      <w:rFonts w:ascii="仿宋" w:hAnsi="仿宋" w:eastAsia="仿宋" w:cs="宋体"/>
      <w:sz w:val="24"/>
      <w:szCs w:val="20"/>
    </w:rPr>
  </w:style>
  <w:style w:type="paragraph" w:customStyle="1" w:styleId="62">
    <w:name w:val="TOC 21"/>
    <w:basedOn w:val="1"/>
    <w:next w:val="1"/>
    <w:unhideWhenUsed/>
    <w:qFormat/>
    <w:uiPriority w:val="39"/>
    <w:pPr>
      <w:spacing w:line="380" w:lineRule="exact"/>
      <w:ind w:left="200" w:leftChars="200"/>
      <w:jc w:val="distribute"/>
    </w:pPr>
  </w:style>
  <w:style w:type="paragraph" w:customStyle="1" w:styleId="63">
    <w:name w:val="样式3"/>
    <w:basedOn w:val="2"/>
    <w:qFormat/>
    <w:uiPriority w:val="0"/>
    <w:rPr>
      <w:kern w:val="1"/>
      <w:sz w:val="30"/>
    </w:rPr>
  </w:style>
  <w:style w:type="paragraph" w:customStyle="1" w:styleId="6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5">
    <w:name w:val="正文1"/>
    <w:qFormat/>
    <w:uiPriority w:val="0"/>
    <w:pPr>
      <w:jc w:val="both"/>
    </w:pPr>
    <w:rPr>
      <w:rFonts w:ascii="Calibri" w:hAnsi="Calibri" w:eastAsia="宋体" w:cs="Calibri"/>
      <w:kern w:val="2"/>
      <w:sz w:val="21"/>
      <w:szCs w:val="21"/>
      <w:lang w:val="en-US" w:eastAsia="zh-CN" w:bidi="ar-SA"/>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TOC 11"/>
    <w:basedOn w:val="1"/>
    <w:next w:val="1"/>
    <w:unhideWhenUsed/>
    <w:qFormat/>
    <w:uiPriority w:val="39"/>
    <w:pPr>
      <w:spacing w:line="380" w:lineRule="exact"/>
      <w:jc w:val="distribute"/>
    </w:pPr>
    <w:rPr>
      <w:rFonts w:eastAsia="黑体"/>
    </w:rPr>
  </w:style>
  <w:style w:type="paragraph" w:customStyle="1" w:styleId="68">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9">
    <w:name w:val="_Style 8"/>
    <w:basedOn w:val="1"/>
    <w:qFormat/>
    <w:uiPriority w:val="0"/>
    <w:pPr>
      <w:tabs>
        <w:tab w:val="left" w:pos="360"/>
      </w:tabs>
    </w:pPr>
    <w:rPr>
      <w:sz w:val="24"/>
      <w:szCs w:val="24"/>
    </w:rPr>
  </w:style>
  <w:style w:type="paragraph" w:customStyle="1" w:styleId="70">
    <w:name w:val="样式１"/>
    <w:basedOn w:val="2"/>
    <w:qFormat/>
    <w:uiPriority w:val="0"/>
    <w:pPr>
      <w:jc w:val="center"/>
    </w:pPr>
    <w:rPr>
      <w:kern w:val="1"/>
      <w:sz w:val="30"/>
    </w:rPr>
  </w:style>
  <w:style w:type="paragraph" w:customStyle="1" w:styleId="71">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72">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3">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4">
    <w:name w:val="Char Char Char Char Char Char Char"/>
    <w:basedOn w:val="1"/>
    <w:qFormat/>
    <w:uiPriority w:val="0"/>
    <w:pPr>
      <w:spacing w:line="240" w:lineRule="atLeast"/>
      <w:ind w:left="420" w:firstLine="420"/>
    </w:pPr>
    <w:rPr>
      <w:kern w:val="0"/>
      <w:szCs w:val="21"/>
    </w:rPr>
  </w:style>
  <w:style w:type="paragraph" w:customStyle="1" w:styleId="75">
    <w:name w:val="Char Char Char Char"/>
    <w:basedOn w:val="1"/>
    <w:qFormat/>
    <w:uiPriority w:val="0"/>
    <w:rPr>
      <w:szCs w:val="20"/>
    </w:rPr>
  </w:style>
  <w:style w:type="paragraph" w:customStyle="1" w:styleId="7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9">
    <w:name w:val="font7"/>
    <w:basedOn w:val="1"/>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80">
    <w:name w:val="font8"/>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3">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4">
    <w:name w:val="font12"/>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0">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7">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8">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9">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100">
    <w:name w:val="xl103"/>
    <w:basedOn w:val="1"/>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1">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5"/>
    <w:basedOn w:val="1"/>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3">
    <w:name w:val="xl10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4">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7">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8">
    <w:name w:val="xl111"/>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9">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10">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1">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4">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5">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6">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7">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9">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2">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7"/>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5">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7">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2">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5">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6">
    <w:name w:val="xl13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7">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0">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1">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2">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5">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7">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8">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9">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4">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5">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6">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9">
    <w:name w:val="Table Paragraph"/>
    <w:basedOn w:val="1"/>
    <w:qFormat/>
    <w:uiPriority w:val="1"/>
    <w:pPr>
      <w:spacing w:before="37"/>
      <w:ind w:left="142"/>
      <w:jc w:val="center"/>
    </w:pPr>
    <w:rPr>
      <w:rFonts w:ascii="黑体" w:hAnsi="黑体" w:eastAsia="黑体" w:cs="黑体"/>
      <w:lang w:val="zh-CN" w:bidi="zh-CN"/>
    </w:rPr>
  </w:style>
  <w:style w:type="paragraph" w:styleId="160">
    <w:name w:val="List Paragraph"/>
    <w:basedOn w:val="1"/>
    <w:qFormat/>
    <w:uiPriority w:val="0"/>
    <w:pPr>
      <w:ind w:firstLine="420" w:firstLineChars="200"/>
    </w:pPr>
    <w:rPr>
      <w:rFonts w:asciiTheme="minorHAnsi" w:hAnsiTheme="minorHAnsi" w:eastAsiaTheme="minorEastAsia" w:cstheme="minorBidi"/>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qFormat/>
    <w:uiPriority w:val="0"/>
    <w:pPr>
      <w:widowControl/>
    </w:pPr>
    <w:rPr>
      <w:kern w:val="0"/>
      <w:szCs w:val="21"/>
    </w:rPr>
  </w:style>
  <w:style w:type="paragraph" w:customStyle="1" w:styleId="163">
    <w:name w:val="Char Char Char Char Char Char Char1"/>
    <w:basedOn w:val="1"/>
    <w:autoRedefine/>
    <w:qFormat/>
    <w:uiPriority w:val="0"/>
    <w:pPr>
      <w:spacing w:line="240" w:lineRule="atLeast"/>
      <w:ind w:left="420" w:firstLine="420"/>
    </w:pPr>
    <w:rPr>
      <w:kern w:val="0"/>
      <w:szCs w:val="21"/>
    </w:rPr>
  </w:style>
  <w:style w:type="paragraph" w:customStyle="1" w:styleId="164">
    <w:name w:val="正文 + 仿宋"/>
    <w:basedOn w:val="1"/>
    <w:autoRedefine/>
    <w:qFormat/>
    <w:uiPriority w:val="0"/>
    <w:pPr>
      <w:widowControl/>
      <w:autoSpaceDE w:val="0"/>
      <w:autoSpaceDN w:val="0"/>
      <w:adjustRightInd w:val="0"/>
      <w:spacing w:line="360" w:lineRule="auto"/>
      <w:ind w:firstLine="480"/>
    </w:pPr>
    <w:rPr>
      <w:rFonts w:ascii="仿宋" w:eastAsia="仿宋" w:cs="仿宋"/>
      <w:color w:val="FF0000"/>
      <w:kern w:val="1"/>
      <w:sz w:val="24"/>
      <w:szCs w:val="24"/>
    </w:rPr>
  </w:style>
  <w:style w:type="table" w:customStyle="1" w:styleId="165">
    <w:name w:val="Table Grid1"/>
    <w:basedOn w:val="2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6">
    <w:name w:val="xl66"/>
    <w:basedOn w:val="1"/>
    <w:qFormat/>
    <w:uiPriority w:val="0"/>
    <w:pPr>
      <w:widowControl/>
      <w:spacing w:before="100" w:beforeAutospacing="1" w:after="100" w:afterAutospacing="1"/>
      <w:jc w:val="center"/>
      <w:textAlignment w:val="center"/>
    </w:pPr>
    <w:rPr>
      <w:rFonts w:ascii="黑体" w:hAnsi="黑体" w:eastAsia="黑体" w:cs="宋体"/>
      <w:b/>
      <w:bCs/>
      <w:kern w:val="0"/>
      <w:sz w:val="26"/>
      <w:szCs w:val="26"/>
    </w:rPr>
  </w:style>
  <w:style w:type="paragraph" w:customStyle="1" w:styleId="167">
    <w:name w:val="xl67"/>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6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6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character" w:customStyle="1" w:styleId="172">
    <w:name w:val="fontstyle01"/>
    <w:basedOn w:val="29"/>
    <w:qFormat/>
    <w:uiPriority w:val="0"/>
    <w:rPr>
      <w:rFonts w:hint="default" w:ascii="仿宋" w:hAnsi="仿宋"/>
      <w:color w:val="000000"/>
      <w:sz w:val="28"/>
      <w:szCs w:val="28"/>
    </w:rPr>
  </w:style>
  <w:style w:type="character" w:customStyle="1" w:styleId="173">
    <w:name w:val="font5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C6D4-29F8-4054-9A3D-2841559B4041}">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8</Pages>
  <Words>4799</Words>
  <Characters>5447</Characters>
  <Lines>124</Lines>
  <Paragraphs>34</Paragraphs>
  <TotalTime>2</TotalTime>
  <ScaleCrop>false</ScaleCrop>
  <LinksUpToDate>false</LinksUpToDate>
  <CharactersWithSpaces>5712</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2024-01-19T00:32:00Z</dcterms:created>
  <dc:creator>市政务服务办</dc:creator>
  <cp:lastModifiedBy>Irreplaceable</cp:lastModifiedBy>
  <cp:lastPrinted>2025-06-18T00:49:00Z</cp:lastPrinted>
  <dcterms:modified xsi:type="dcterms:W3CDTF">2026-01-20T02:53:29Z</dcterms:modified>
  <dc:subject>青岛市政府采购采购文件范本</dc:subject>
  <dc:title>青岛市政府采购采购文件范本</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