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9331"/>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公告</w:t>
      </w:r>
      <w:bookmarkEnd w:id="0"/>
    </w:p>
    <w:p w14:paraId="428C4616">
      <w:pPr>
        <w:spacing w:line="560" w:lineRule="exact"/>
        <w:ind w:firstLine="480" w:firstLineChars="200"/>
        <w:rPr>
          <w:rFonts w:ascii="仿宋" w:hAnsi="仿宋" w:eastAsia="仿宋"/>
          <w:bCs/>
          <w:sz w:val="24"/>
          <w:szCs w:val="24"/>
          <w:highlight w:val="none"/>
        </w:rPr>
      </w:pPr>
      <w:r>
        <w:rPr>
          <w:rFonts w:hint="eastAsia" w:ascii="仿宋" w:hAnsi="仿宋" w:eastAsia="仿宋"/>
          <w:sz w:val="24"/>
          <w:szCs w:val="24"/>
          <w:highlight w:val="none"/>
        </w:rPr>
        <w:t>我公司现对青岛北岸储能产业园110kV变电站外线工程（电缆敷设）进行</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，欢迎符合条件的投标人参加，具体要求如下：</w:t>
      </w:r>
    </w:p>
    <w:p w14:paraId="5927CE48">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项目名称：青岛北岸储能产业园110kV变电站外线工程（电缆敷设）</w:t>
      </w:r>
    </w:p>
    <w:p w14:paraId="3F2A4EBE">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2.项目地点：青岛</w:t>
      </w:r>
      <w:r>
        <w:rPr>
          <w:rFonts w:hint="eastAsia" w:ascii="仿宋" w:hAnsi="仿宋" w:eastAsia="仿宋"/>
          <w:sz w:val="24"/>
          <w:szCs w:val="24"/>
          <w:highlight w:val="none"/>
          <w:lang w:eastAsia="zh-CN"/>
        </w:rPr>
        <w:t>市</w:t>
      </w:r>
      <w:r>
        <w:rPr>
          <w:rFonts w:hint="eastAsia" w:ascii="仿宋" w:hAnsi="仿宋" w:eastAsia="仿宋"/>
          <w:sz w:val="24"/>
          <w:szCs w:val="24"/>
          <w:highlight w:val="none"/>
        </w:rPr>
        <w:t>。</w:t>
      </w:r>
    </w:p>
    <w:p w14:paraId="50174065">
      <w:pPr>
        <w:numPr>
          <w:ilvl w:val="0"/>
          <w:numId w:val="0"/>
        </w:numPr>
        <w:tabs>
          <w:tab w:val="left" w:pos="6379"/>
        </w:tabs>
        <w:spacing w:line="560" w:lineRule="exact"/>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3.服务内容：电缆敷设详见工程量清单。</w:t>
      </w:r>
    </w:p>
    <w:p w14:paraId="21DB7D9F">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lang w:val="en-US" w:eastAsia="zh-CN"/>
        </w:rPr>
        <w:t>4.采购控制价：</w:t>
      </w:r>
      <w:r>
        <w:rPr>
          <w:rFonts w:hint="eastAsia" w:ascii="仿宋" w:hAnsi="仿宋" w:eastAsia="仿宋"/>
          <w:sz w:val="24"/>
          <w:szCs w:val="24"/>
          <w:highlight w:val="none"/>
        </w:rPr>
        <w:t>3856280.00元（含税增值税税率3%），不含税价3743961.17元。</w:t>
      </w:r>
    </w:p>
    <w:p w14:paraId="46B4F99C">
      <w:pPr>
        <w:numPr>
          <w:ilvl w:val="0"/>
          <w:numId w:val="0"/>
        </w:numPr>
        <w:tabs>
          <w:tab w:val="left" w:pos="6379"/>
        </w:tabs>
        <w:spacing w:line="560" w:lineRule="exact"/>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 投标人资格要求</w:t>
      </w:r>
    </w:p>
    <w:p w14:paraId="22BFCB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highlight w:val="none"/>
        </w:rPr>
      </w:pPr>
      <w:r>
        <w:rPr>
          <w:rFonts w:hint="eastAsia" w:ascii="仿宋" w:hAnsi="仿宋" w:eastAsia="仿宋"/>
          <w:sz w:val="24"/>
          <w:szCs w:val="24"/>
          <w:highlight w:val="none"/>
        </w:rPr>
        <w:t xml:space="preserve">    5.1供应商必须具有独立法人资格,各供应商不得有企业关联或股权关系。</w:t>
      </w:r>
    </w:p>
    <w:p w14:paraId="48D36B3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5.2</w:t>
      </w:r>
      <w:r>
        <w:rPr>
          <w:rFonts w:hint="eastAsia" w:ascii="仿宋" w:hAnsi="仿宋" w:eastAsia="仿宋" w:cs="Times New Roman"/>
          <w:sz w:val="24"/>
          <w:szCs w:val="24"/>
          <w:highlight w:val="none"/>
        </w:rPr>
        <w:t>供应商须具有</w:t>
      </w:r>
      <w:r>
        <w:rPr>
          <w:rFonts w:hint="eastAsia" w:ascii="仿宋" w:hAnsi="仿宋" w:eastAsia="仿宋"/>
          <w:sz w:val="24"/>
          <w:szCs w:val="24"/>
          <w:highlight w:val="none"/>
        </w:rPr>
        <w:t>施工劳务资质或电力专业相关资质，并具有有效期内的安全生产许可证。</w:t>
      </w:r>
    </w:p>
    <w:p w14:paraId="7F267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bCs/>
          <w:sz w:val="24"/>
          <w:szCs w:val="24"/>
          <w:highlight w:val="none"/>
        </w:rPr>
      </w:pPr>
      <w:r>
        <w:rPr>
          <w:rFonts w:hint="eastAsia" w:ascii="仿宋" w:hAnsi="仿宋" w:eastAsia="仿宋"/>
          <w:sz w:val="24"/>
          <w:szCs w:val="24"/>
          <w:highlight w:val="none"/>
        </w:rPr>
        <w:t xml:space="preserve">    5.3</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公告发布之日前三年内无行贿犯罪等重大违法记录。</w:t>
      </w:r>
      <w:r>
        <w:rPr>
          <w:rFonts w:ascii="仿宋" w:hAnsi="仿宋" w:eastAsia="仿宋"/>
          <w:sz w:val="24"/>
          <w:szCs w:val="24"/>
          <w:highlight w:val="none"/>
        </w:rPr>
        <w:br w:type="textWrapping"/>
      </w:r>
      <w:bookmarkStart w:id="1" w:name="_Toc521332562"/>
      <w:r>
        <w:rPr>
          <w:rFonts w:hint="eastAsia" w:ascii="仿宋" w:hAnsi="仿宋" w:eastAsia="仿宋"/>
          <w:sz w:val="24"/>
          <w:szCs w:val="24"/>
          <w:highlight w:val="none"/>
        </w:rPr>
        <w:t xml:space="preserve">    5.4通过“信用中国”网</w:t>
      </w:r>
      <w:r>
        <w:rPr>
          <w:rFonts w:hint="eastAsia" w:ascii="仿宋" w:hAnsi="仿宋" w:eastAsia="仿宋" w:cs="宋体"/>
          <w:bCs/>
          <w:sz w:val="24"/>
          <w:szCs w:val="24"/>
          <w:highlight w:val="none"/>
        </w:rPr>
        <w:t>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1"/>
    <w:p w14:paraId="566ED4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w:t>
      </w:r>
      <w:r>
        <w:rPr>
          <w:rFonts w:hint="eastAsia" w:ascii="仿宋" w:hAnsi="仿宋" w:eastAsia="仿宋"/>
          <w:szCs w:val="24"/>
          <w:highlight w:val="none"/>
          <w:lang w:eastAsia="zh-CN"/>
        </w:rPr>
        <w:t>采购</w:t>
      </w:r>
      <w:r>
        <w:rPr>
          <w:rFonts w:hint="eastAsia" w:ascii="仿宋" w:hAnsi="仿宋" w:eastAsia="仿宋"/>
          <w:szCs w:val="24"/>
          <w:highlight w:val="none"/>
        </w:rPr>
        <w:t>文件的获取</w:t>
      </w:r>
    </w:p>
    <w:p w14:paraId="2C84D67E">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6.1截止时间：202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 xml:space="preserve"> 23</w:t>
      </w:r>
      <w:r>
        <w:rPr>
          <w:rFonts w:hint="eastAsia" w:ascii="仿宋" w:hAnsi="仿宋" w:eastAsia="仿宋"/>
          <w:szCs w:val="24"/>
          <w:highlight w:val="none"/>
        </w:rPr>
        <w:t>日</w:t>
      </w:r>
      <w:r>
        <w:rPr>
          <w:rFonts w:hint="eastAsia" w:ascii="仿宋" w:hAnsi="仿宋" w:eastAsia="仿宋"/>
          <w:szCs w:val="24"/>
          <w:highlight w:val="none"/>
          <w:lang w:val="en-US" w:eastAsia="zh-CN"/>
        </w:rPr>
        <w:t>12</w:t>
      </w:r>
      <w:r>
        <w:rPr>
          <w:rFonts w:hint="eastAsia" w:ascii="仿宋" w:hAnsi="仿宋" w:eastAsia="仿宋"/>
          <w:szCs w:val="24"/>
          <w:highlight w:val="none"/>
        </w:rPr>
        <w:t>时00分。</w:t>
      </w:r>
    </w:p>
    <w:p w14:paraId="3DF8826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w:t>
      </w:r>
      <w:r>
        <w:rPr>
          <w:rFonts w:hint="eastAsia" w:ascii="仿宋" w:hAnsi="仿宋" w:eastAsia="仿宋"/>
          <w:b/>
          <w:bCs/>
          <w:szCs w:val="24"/>
          <w:highlight w:val="none"/>
        </w:rPr>
        <w:t>PDF</w:t>
      </w:r>
      <w:r>
        <w:rPr>
          <w:rFonts w:hint="eastAsia" w:ascii="仿宋" w:hAnsi="仿宋" w:eastAsia="仿宋"/>
          <w:szCs w:val="24"/>
          <w:highlight w:val="none"/>
        </w:rPr>
        <w:t>文档，在截止时间前发送至邮箱：gaoxinshuidian@163.com。邮件标题为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w:t>
      </w:r>
      <w:r>
        <w:rPr>
          <w:rFonts w:hint="eastAsia" w:ascii="仿宋" w:hAnsi="仿宋" w:eastAsia="仿宋"/>
          <w:b/>
          <w:bCs/>
          <w:szCs w:val="24"/>
          <w:highlight w:val="none"/>
          <w:lang w:eastAsia="zh-CN"/>
        </w:rPr>
        <w:t>采购</w:t>
      </w:r>
      <w:r>
        <w:rPr>
          <w:rFonts w:hint="eastAsia" w:ascii="仿宋" w:hAnsi="仿宋" w:eastAsia="仿宋"/>
          <w:b/>
          <w:bCs/>
          <w:szCs w:val="24"/>
          <w:highlight w:val="none"/>
        </w:rPr>
        <w:t>文件接收邮箱地址</w:t>
      </w:r>
      <w:r>
        <w:rPr>
          <w:rFonts w:hint="eastAsia" w:ascii="仿宋" w:hAnsi="仿宋" w:eastAsia="仿宋"/>
          <w:szCs w:val="24"/>
          <w:highlight w:val="none"/>
        </w:rPr>
        <w:t>。</w:t>
      </w:r>
      <w:r>
        <w:rPr>
          <w:rStyle w:val="47"/>
          <w:rFonts w:hint="eastAsia" w:ascii="仿宋" w:hAnsi="仿宋" w:eastAsia="仿宋" w:cs="仿宋"/>
          <w:sz w:val="24"/>
          <w:szCs w:val="24"/>
          <w:highlight w:val="none"/>
        </w:rPr>
        <w:t>由</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单位受理</w:t>
      </w:r>
      <w:r>
        <w:rPr>
          <w:rStyle w:val="47"/>
          <w:rFonts w:hint="eastAsia" w:ascii="仿宋" w:hAnsi="仿宋" w:eastAsia="仿宋" w:cs="仿宋"/>
          <w:sz w:val="24"/>
          <w:szCs w:val="24"/>
          <w:highlight w:val="none"/>
          <w:lang w:eastAsia="zh-CN"/>
        </w:rPr>
        <w:t>审查通过</w:t>
      </w:r>
      <w:r>
        <w:rPr>
          <w:rStyle w:val="47"/>
          <w:rFonts w:hint="eastAsia" w:ascii="仿宋" w:hAnsi="仿宋" w:eastAsia="仿宋" w:cs="仿宋"/>
          <w:sz w:val="24"/>
          <w:szCs w:val="24"/>
          <w:highlight w:val="none"/>
        </w:rPr>
        <w:t>后，通过邮箱向投标人发放</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文件。</w:t>
      </w:r>
    </w:p>
    <w:p w14:paraId="2E315931">
      <w:pPr>
        <w:pStyle w:val="16"/>
        <w:spacing w:line="560" w:lineRule="exact"/>
        <w:ind w:firstLine="480" w:firstLineChars="200"/>
        <w:rPr>
          <w:rFonts w:hint="eastAsia" w:ascii="仿宋" w:hAnsi="仿宋" w:eastAsia="仿宋"/>
          <w:sz w:val="24"/>
          <w:szCs w:val="24"/>
          <w:highlight w:val="none"/>
        </w:rPr>
      </w:pPr>
      <w:r>
        <w:rPr>
          <w:rFonts w:hint="eastAsia" w:ascii="仿宋" w:hAnsi="仿宋" w:eastAsia="仿宋"/>
          <w:szCs w:val="24"/>
          <w:highlight w:val="none"/>
        </w:rPr>
        <w:t>6.3资格审查材料：营业执照复印件</w:t>
      </w:r>
      <w:r>
        <w:rPr>
          <w:rFonts w:hint="eastAsia" w:ascii="仿宋" w:hAnsi="仿宋" w:eastAsia="仿宋"/>
          <w:sz w:val="24"/>
          <w:szCs w:val="24"/>
          <w:highlight w:val="none"/>
          <w:lang w:eastAsia="zh-CN"/>
        </w:rPr>
        <w:t>，</w:t>
      </w:r>
      <w:r>
        <w:rPr>
          <w:rFonts w:hint="eastAsia" w:ascii="仿宋" w:hAnsi="仿宋" w:eastAsia="仿宋"/>
          <w:szCs w:val="24"/>
          <w:highlight w:val="none"/>
        </w:rPr>
        <w:t>法定代表人身份证明，法定代表人授权委托书，</w:t>
      </w:r>
      <w:r>
        <w:rPr>
          <w:rFonts w:hint="eastAsia" w:ascii="仿宋" w:hAnsi="仿宋" w:eastAsia="仿宋"/>
          <w:sz w:val="24"/>
          <w:szCs w:val="24"/>
          <w:highlight w:val="none"/>
        </w:rPr>
        <w:t>企业相关资质（施工劳务资质或电力专业相关资质）</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有效期内的安全生产许可证</w:t>
      </w:r>
      <w:r>
        <w:rPr>
          <w:rFonts w:hint="eastAsia" w:ascii="仿宋" w:hAnsi="仿宋" w:eastAsia="仿宋"/>
          <w:sz w:val="24"/>
          <w:szCs w:val="24"/>
          <w:highlight w:val="none"/>
          <w:lang w:eastAsia="zh-CN"/>
        </w:rPr>
        <w:t>、</w:t>
      </w:r>
      <w:r>
        <w:rPr>
          <w:rFonts w:hint="eastAsia" w:ascii="仿宋" w:hAnsi="仿宋" w:eastAsia="仿宋"/>
          <w:sz w:val="24"/>
          <w:szCs w:val="24"/>
          <w:highlight w:val="none"/>
        </w:rPr>
        <w:t>在经营活动中无重大违法记录和行贿犯罪记录的承诺</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中国裁判文书网（http://wenshu.court.gov.cn)分别查询供应商、法定代表人无行贿犯罪记录查询网页截图；“信用中国”网站查询供应商未被列入失信被执行人、重大税收违法案件当事人查询网页截图</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中国政府采购网查询政府采购严重违法失信行为记录名单网页截图等材料</w:t>
      </w:r>
      <w:r>
        <w:rPr>
          <w:rFonts w:hint="eastAsia" w:ascii="仿宋" w:hAnsi="仿宋" w:eastAsia="仿宋"/>
          <w:sz w:val="24"/>
          <w:szCs w:val="24"/>
          <w:highlight w:val="none"/>
          <w:lang w:val="en-US" w:eastAsia="zh-CN"/>
        </w:rPr>
        <w:t>(截图均需带有查询日期）</w:t>
      </w:r>
      <w:r>
        <w:rPr>
          <w:rFonts w:hint="eastAsia" w:ascii="仿宋" w:hAnsi="仿宋" w:eastAsia="仿宋"/>
          <w:sz w:val="24"/>
          <w:szCs w:val="24"/>
          <w:highlight w:val="none"/>
        </w:rPr>
        <w:t>，以上材料均需加盖供应商公章。</w:t>
      </w:r>
    </w:p>
    <w:p w14:paraId="26656A01">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w:t>
      </w:r>
      <w:r>
        <w:rPr>
          <w:rFonts w:hint="eastAsia" w:ascii="仿宋" w:hAnsi="仿宋" w:eastAsia="仿宋"/>
          <w:szCs w:val="24"/>
          <w:highlight w:val="none"/>
          <w:lang w:eastAsia="zh-CN"/>
        </w:rPr>
        <w:t>响应文件</w:t>
      </w:r>
      <w:r>
        <w:rPr>
          <w:rFonts w:hint="eastAsia" w:ascii="仿宋" w:hAnsi="仿宋" w:eastAsia="仿宋"/>
          <w:szCs w:val="24"/>
          <w:highlight w:val="none"/>
        </w:rPr>
        <w:t>递交时间以及地点</w:t>
      </w:r>
    </w:p>
    <w:p w14:paraId="0F0EDD7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29</w:t>
      </w:r>
      <w:r>
        <w:rPr>
          <w:rFonts w:hint="eastAsia" w:ascii="仿宋" w:hAnsi="仿宋" w:eastAsia="仿宋"/>
          <w:szCs w:val="24"/>
          <w:highlight w:val="none"/>
        </w:rPr>
        <w:t>日9时00分至9时30分。</w:t>
      </w:r>
    </w:p>
    <w:p w14:paraId="189D2FA9">
      <w:pPr>
        <w:pStyle w:val="16"/>
        <w:spacing w:line="560" w:lineRule="exact"/>
        <w:ind w:firstLine="480" w:firstLineChars="200"/>
        <w:rPr>
          <w:rFonts w:ascii="仿宋" w:hAnsi="仿宋" w:eastAsia="仿宋"/>
          <w:szCs w:val="24"/>
          <w:highlight w:val="none"/>
        </w:rPr>
      </w:pPr>
      <w:r>
        <w:rPr>
          <w:rFonts w:hint="eastAsia" w:ascii="仿宋" w:hAnsi="仿宋" w:eastAsia="仿宋"/>
          <w:szCs w:val="24"/>
          <w:highlight w:val="none"/>
        </w:rPr>
        <w:t>7.2地点：青岛市高新区聚贤桥路50号高实集团</w:t>
      </w:r>
      <w:r>
        <w:rPr>
          <w:rFonts w:hint="eastAsia" w:ascii="仿宋" w:hAnsi="仿宋" w:eastAsia="仿宋"/>
          <w:szCs w:val="24"/>
          <w:highlight w:val="none"/>
          <w:lang w:val="en-US" w:eastAsia="zh-CN"/>
        </w:rPr>
        <w:t>8</w:t>
      </w:r>
      <w:r>
        <w:rPr>
          <w:rFonts w:hint="eastAsia" w:ascii="仿宋" w:hAnsi="仿宋" w:eastAsia="仿宋"/>
          <w:szCs w:val="24"/>
          <w:highlight w:val="none"/>
        </w:rPr>
        <w:t>楼</w:t>
      </w:r>
      <w:r>
        <w:rPr>
          <w:rFonts w:hint="eastAsia" w:ascii="仿宋" w:hAnsi="仿宋" w:eastAsia="仿宋"/>
          <w:szCs w:val="24"/>
          <w:highlight w:val="none"/>
          <w:lang w:val="en-US" w:eastAsia="zh-CN"/>
        </w:rPr>
        <w:t>801</w:t>
      </w:r>
      <w:r>
        <w:rPr>
          <w:rFonts w:hint="eastAsia" w:ascii="仿宋" w:hAnsi="仿宋" w:eastAsia="仿宋"/>
          <w:szCs w:val="24"/>
          <w:highlight w:val="none"/>
        </w:rPr>
        <w:t>会议室。</w:t>
      </w:r>
    </w:p>
    <w:p w14:paraId="5666A18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2641A05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29</w:t>
      </w:r>
      <w:r>
        <w:rPr>
          <w:rFonts w:hint="eastAsia" w:ascii="仿宋" w:hAnsi="仿宋" w:eastAsia="仿宋"/>
          <w:szCs w:val="24"/>
          <w:highlight w:val="none"/>
        </w:rPr>
        <w:t>日9时30分。</w:t>
      </w:r>
    </w:p>
    <w:p w14:paraId="12D23F2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w:t>
      </w:r>
      <w:r>
        <w:rPr>
          <w:rFonts w:hint="eastAsia" w:ascii="仿宋" w:hAnsi="仿宋" w:eastAsia="仿宋"/>
          <w:szCs w:val="24"/>
          <w:highlight w:val="none"/>
          <w:lang w:val="en-US" w:eastAsia="zh-CN"/>
        </w:rPr>
        <w:t>8</w:t>
      </w:r>
      <w:r>
        <w:rPr>
          <w:rFonts w:hint="eastAsia" w:ascii="仿宋" w:hAnsi="仿宋" w:eastAsia="仿宋"/>
          <w:szCs w:val="24"/>
          <w:highlight w:val="none"/>
        </w:rPr>
        <w:t>楼</w:t>
      </w:r>
      <w:r>
        <w:rPr>
          <w:rFonts w:hint="eastAsia" w:ascii="仿宋" w:hAnsi="仿宋" w:eastAsia="仿宋"/>
          <w:szCs w:val="24"/>
          <w:highlight w:val="none"/>
          <w:lang w:val="en-US" w:eastAsia="zh-CN"/>
        </w:rPr>
        <w:t>801</w:t>
      </w:r>
      <w:r>
        <w:rPr>
          <w:rFonts w:hint="eastAsia" w:ascii="仿宋" w:hAnsi="仿宋" w:eastAsia="仿宋"/>
          <w:szCs w:val="24"/>
          <w:highlight w:val="none"/>
        </w:rPr>
        <w:t>会议室。</w:t>
      </w:r>
    </w:p>
    <w:p w14:paraId="65DD211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6614289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w:t>
      </w:r>
      <w:r>
        <w:rPr>
          <w:rFonts w:hint="eastAsia" w:ascii="仿宋" w:hAnsi="仿宋" w:eastAsia="仿宋"/>
          <w:szCs w:val="24"/>
          <w:highlight w:val="none"/>
          <w:lang w:eastAsia="zh-CN"/>
        </w:rPr>
        <w:t>采购</w:t>
      </w:r>
      <w:r>
        <w:rPr>
          <w:rFonts w:hint="eastAsia" w:ascii="仿宋" w:hAnsi="仿宋" w:eastAsia="仿宋"/>
          <w:szCs w:val="24"/>
          <w:highlight w:val="none"/>
        </w:rPr>
        <w:t>人：青岛高新电力发展有限公司</w:t>
      </w:r>
    </w:p>
    <w:p w14:paraId="4F9E407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0A7A113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4A3FBA1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734A7644">
      <w:pPr>
        <w:pStyle w:val="16"/>
        <w:spacing w:line="560" w:lineRule="exact"/>
        <w:rPr>
          <w:rFonts w:ascii="仿宋" w:hAnsi="仿宋" w:eastAsia="仿宋"/>
          <w:szCs w:val="24"/>
          <w:highlight w:val="none"/>
        </w:rPr>
      </w:pPr>
    </w:p>
    <w:p w14:paraId="46777D34">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20</w:t>
      </w:r>
      <w:r>
        <w:rPr>
          <w:rFonts w:hint="eastAsia" w:ascii="仿宋" w:hAnsi="仿宋" w:eastAsia="仿宋"/>
          <w:szCs w:val="24"/>
          <w:highlight w:val="none"/>
          <w:lang w:val="en-US" w:eastAsia="zh-CN"/>
        </w:rPr>
        <w:t>26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21</w:t>
      </w:r>
      <w:r>
        <w:rPr>
          <w:rFonts w:hint="eastAsia" w:ascii="仿宋" w:hAnsi="仿宋" w:eastAsia="仿宋"/>
          <w:szCs w:val="24"/>
          <w:highlight w:val="none"/>
        </w:rPr>
        <w:t>日</w:t>
      </w:r>
    </w:p>
    <w:p w14:paraId="55B83D9E">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1"/>
        <w:rPr>
          <w:rFonts w:ascii="仿宋" w:hAnsi="仿宋" w:eastAsia="仿宋"/>
          <w:b/>
          <w:sz w:val="28"/>
          <w:szCs w:val="28"/>
          <w:highlight w:val="none"/>
        </w:rPr>
      </w:pPr>
      <w:r>
        <w:rPr>
          <w:rFonts w:ascii="仿宋" w:hAnsi="仿宋" w:eastAsia="仿宋"/>
          <w:b/>
          <w:sz w:val="28"/>
          <w:szCs w:val="28"/>
          <w:highlight w:val="none"/>
        </w:rPr>
        <w:br w:type="page"/>
      </w:r>
      <w:bookmarkStart w:id="2" w:name="_Toc25517"/>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需求</w:t>
      </w:r>
      <w:bookmarkEnd w:id="2"/>
    </w:p>
    <w:p w14:paraId="22876E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ascii="黑体" w:hAnsi="黑体" w:eastAsia="黑体" w:cs="宋体"/>
          <w:color w:val="000000"/>
          <w:sz w:val="24"/>
          <w:szCs w:val="24"/>
          <w:highlight w:val="none"/>
        </w:rPr>
        <w:t>一</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highlight w:val="none"/>
          <w:lang w:eastAsia="zh-CN"/>
        </w:rPr>
        <w:t>采购</w:t>
      </w:r>
      <w:r>
        <w:rPr>
          <w:rFonts w:ascii="黑体" w:hAnsi="黑体" w:eastAsia="黑体" w:cs="宋体"/>
          <w:color w:val="000000"/>
          <w:sz w:val="24"/>
          <w:szCs w:val="24"/>
          <w:highlight w:val="none"/>
        </w:rPr>
        <w:t>需求</w:t>
      </w:r>
    </w:p>
    <w:p w14:paraId="7FA8D93B">
      <w:pPr>
        <w:adjustRightInd/>
        <w:snapToGrid/>
        <w:spacing w:after="0"/>
        <w:ind w:firstLine="480" w:firstLineChars="20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1.项目名称：青岛北岸储能产业园110kV变电站外线工程（电缆敷设）</w:t>
      </w:r>
    </w:p>
    <w:p w14:paraId="2D85FF6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2.服务内容：电缆敷设详见工程量清单</w:t>
      </w:r>
    </w:p>
    <w:p w14:paraId="6A6054E2">
      <w:pPr>
        <w:keepNext w:val="0"/>
        <w:keepLines w:val="0"/>
        <w:pageBreakBefore w:val="0"/>
        <w:widowControl w:val="0"/>
        <w:kinsoku/>
        <w:wordWrap/>
        <w:overflowPunct/>
        <w:topLinePunct w:val="0"/>
        <w:autoSpaceDE/>
        <w:autoSpaceDN/>
        <w:bidi w:val="0"/>
        <w:adjustRightInd/>
        <w:snapToGrid/>
        <w:spacing w:after="0" w:line="560" w:lineRule="exact"/>
        <w:ind w:left="479" w:leftChars="228" w:firstLine="0" w:firstLineChars="0"/>
        <w:textAlignment w:val="auto"/>
        <w:rPr>
          <w:rFonts w:ascii="仿宋" w:hAnsi="仿宋" w:eastAsia="仿宋" w:cs="宋体"/>
          <w:color w:val="000000"/>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eastAsia="zh-CN"/>
        </w:rPr>
        <w:t>采购</w:t>
      </w:r>
      <w:r>
        <w:rPr>
          <w:rFonts w:hint="eastAsia" w:ascii="仿宋" w:hAnsi="仿宋" w:eastAsia="仿宋" w:cs="宋体"/>
          <w:sz w:val="24"/>
          <w:szCs w:val="24"/>
          <w:highlight w:val="none"/>
        </w:rPr>
        <w:t>控制价</w:t>
      </w:r>
      <w:r>
        <w:rPr>
          <w:rFonts w:hint="eastAsia" w:ascii="仿宋" w:hAnsi="仿宋" w:eastAsia="仿宋" w:cs="宋体"/>
          <w:color w:val="000000"/>
          <w:sz w:val="24"/>
          <w:szCs w:val="24"/>
          <w:highlight w:val="none"/>
        </w:rPr>
        <w:t>：</w:t>
      </w:r>
      <w:r>
        <w:rPr>
          <w:rFonts w:hint="eastAsia" w:ascii="仿宋" w:hAnsi="仿宋" w:eastAsia="仿宋"/>
          <w:sz w:val="24"/>
          <w:szCs w:val="24"/>
          <w:highlight w:val="none"/>
        </w:rPr>
        <w:t>3856280.00元（含税增值税税率3%），不含税价3743961.17元。</w:t>
      </w:r>
      <w:r>
        <w:rPr>
          <w:rFonts w:hint="eastAsia" w:ascii="仿宋" w:hAnsi="仿宋" w:eastAsia="仿宋" w:cs="宋体"/>
          <w:color w:val="000000"/>
          <w:sz w:val="24"/>
          <w:szCs w:val="24"/>
          <w:highlight w:val="none"/>
        </w:rPr>
        <w:t>4.供应商资格要求：</w:t>
      </w:r>
    </w:p>
    <w:p w14:paraId="68B11CA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4.1供应商必须具有独立法人资格,各供应商不得有企业关联或股权关系。</w:t>
      </w:r>
    </w:p>
    <w:p w14:paraId="2DB9AF6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4.2供应商必须具有施工劳务资质或电力专业相关资质及有效期内的安全生产许可证。</w:t>
      </w:r>
    </w:p>
    <w:p w14:paraId="5712F7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二、工期要求 </w:t>
      </w:r>
    </w:p>
    <w:p w14:paraId="73B5A2E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自合同签订并接采购人进场通知之日起20天内完成,具体开工日期以甲方通知为准。除人力不可抗拒及不可预见的因素外，一律不得顺延。</w:t>
      </w:r>
    </w:p>
    <w:p w14:paraId="2C24CE5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三、质量标准 </w:t>
      </w:r>
    </w:p>
    <w:p w14:paraId="7974036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20CF82E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23A96560">
      <w:pPr>
        <w:keepNext w:val="0"/>
        <w:keepLines w:val="0"/>
        <w:pageBreakBefore w:val="0"/>
        <w:widowControl w:val="0"/>
        <w:kinsoku/>
        <w:wordWrap/>
        <w:overflowPunct/>
        <w:topLinePunct w:val="0"/>
        <w:autoSpaceDE/>
        <w:autoSpaceDN/>
        <w:bidi w:val="0"/>
        <w:adjustRightInd/>
        <w:snapToGrid/>
        <w:spacing w:after="0" w:line="560" w:lineRule="exact"/>
        <w:textAlignment w:val="auto"/>
        <w:rPr>
          <w:sz w:val="24"/>
          <w:szCs w:val="24"/>
          <w:highlight w:val="none"/>
        </w:rPr>
      </w:pPr>
      <w:r>
        <w:rPr>
          <w:rFonts w:hint="eastAsia" w:ascii="黑体" w:hAnsi="黑体" w:eastAsia="黑体" w:cs="宋体"/>
          <w:color w:val="000000"/>
          <w:sz w:val="24"/>
          <w:szCs w:val="24"/>
          <w:highlight w:val="none"/>
        </w:rPr>
        <w:t>四、</w:t>
      </w:r>
      <w:r>
        <w:rPr>
          <w:rFonts w:ascii="黑体" w:hAnsi="黑体" w:eastAsia="黑体" w:cs="宋体"/>
          <w:color w:val="000000"/>
          <w:sz w:val="24"/>
          <w:szCs w:val="24"/>
          <w:highlight w:val="none"/>
        </w:rPr>
        <w:t>技术标准和施工要求</w:t>
      </w:r>
      <w:r>
        <w:rPr>
          <w:sz w:val="24"/>
          <w:szCs w:val="24"/>
          <w:highlight w:val="none"/>
        </w:rPr>
        <w:t xml:space="preserve"> </w:t>
      </w:r>
    </w:p>
    <w:p w14:paraId="21B23B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w:t>
      </w:r>
      <w:r>
        <w:rPr>
          <w:rFonts w:ascii="仿宋" w:hAnsi="仿宋" w:eastAsia="仿宋" w:cs="宋体"/>
          <w:color w:val="000000"/>
          <w:sz w:val="24"/>
          <w:szCs w:val="24"/>
          <w:highlight w:val="none"/>
        </w:rPr>
        <w:t>本工程应按国家、建设部、工程施工技术（验收）规程、规范标准施工。</w:t>
      </w:r>
    </w:p>
    <w:p w14:paraId="777B71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r>
        <w:rPr>
          <w:rFonts w:ascii="仿宋" w:hAnsi="仿宋" w:eastAsia="仿宋" w:cs="宋体"/>
          <w:color w:val="000000"/>
          <w:sz w:val="24"/>
          <w:szCs w:val="24"/>
          <w:highlight w:val="none"/>
        </w:rPr>
        <w:t xml:space="preserve">严格按照施工图纸、工程量清单及有关技术要求、文件、资料进行施工。 </w:t>
      </w:r>
    </w:p>
    <w:p w14:paraId="72B4958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五、付款及结算方式</w:t>
      </w:r>
    </w:p>
    <w:p w14:paraId="0ED3F2D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1.固定单价，工程量按经甲方验收合格的实际工程量结算。</w:t>
      </w:r>
    </w:p>
    <w:p w14:paraId="3DA4FB5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bookmarkStart w:id="3" w:name="OLE_LINK1"/>
      <w:r>
        <w:rPr>
          <w:rFonts w:hint="eastAsia" w:ascii="仿宋" w:hAnsi="仿宋" w:eastAsia="仿宋" w:cs="宋体"/>
          <w:color w:val="000000"/>
          <w:sz w:val="24"/>
          <w:szCs w:val="24"/>
          <w:highlight w:val="none"/>
        </w:rPr>
        <w:t>.付款前，甲方需对乙方已完成的合格工程量进行验收结算入账，并根据本项目建设单位付款比例同步进行付款，整体付款比例不超过合同额的80%，审计完成后支付至审定值的97%，余款待缺陷责任期满后一次性结算无息付清。甲方每次付款前，乙方应按照甲方要求向甲方开具合法有效的等额增值税专用发票，其中审计完成后应开具至审定值全额增值税专用发票（如遇税率调整，按照最新税率政策执行），否则甲方有权拒绝乙方的付款请求且不承担逾期付款责任；各阶段付款甲方根据本项目建设单位付款比例同步进行付款，建设单位出现付款延迟的情况，各阶段付款时间相应顺延。</w:t>
      </w:r>
    </w:p>
    <w:bookmarkEnd w:id="3"/>
    <w:p w14:paraId="06D4898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color w:val="000000"/>
          <w:sz w:val="24"/>
          <w:szCs w:val="24"/>
          <w:highlight w:val="none"/>
          <w:lang w:eastAsia="zh-CN"/>
        </w:rPr>
      </w:pPr>
      <w:r>
        <w:rPr>
          <w:rFonts w:hint="eastAsia" w:ascii="黑体" w:hAnsi="黑体" w:eastAsia="黑体" w:cs="宋体"/>
          <w:color w:val="000000"/>
          <w:sz w:val="24"/>
          <w:szCs w:val="24"/>
          <w:highlight w:val="none"/>
        </w:rPr>
        <w:t>六、缺陷责任</w:t>
      </w:r>
      <w:r>
        <w:rPr>
          <w:rFonts w:hint="eastAsia" w:ascii="黑体" w:hAnsi="黑体" w:eastAsia="黑体" w:cs="宋体"/>
          <w:color w:val="000000"/>
          <w:sz w:val="24"/>
          <w:szCs w:val="24"/>
          <w:highlight w:val="none"/>
          <w:lang w:eastAsia="zh-CN"/>
        </w:rPr>
        <w:t>期</w:t>
      </w:r>
    </w:p>
    <w:p w14:paraId="0608C3F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本工程约定缺陷责任期为2年，自竣工验收通过之日起计。</w:t>
      </w:r>
    </w:p>
    <w:p w14:paraId="024DEC3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color w:val="000000"/>
          <w:sz w:val="24"/>
          <w:szCs w:val="24"/>
          <w:highlight w:val="none"/>
          <w:lang w:eastAsia="zh-CN"/>
        </w:rPr>
      </w:pPr>
      <w:r>
        <w:rPr>
          <w:rFonts w:hint="eastAsia" w:ascii="黑体" w:hAnsi="黑体" w:eastAsia="黑体" w:cs="宋体"/>
          <w:color w:val="000000"/>
          <w:sz w:val="24"/>
          <w:szCs w:val="24"/>
          <w:highlight w:val="none"/>
          <w:lang w:eastAsia="zh-CN"/>
        </w:rPr>
        <w:t>七</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highlight w:val="none"/>
          <w:lang w:eastAsia="zh-CN"/>
        </w:rPr>
        <w:t>质量保修期</w:t>
      </w:r>
    </w:p>
    <w:p w14:paraId="41ED98F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质量保修期2年，自工程竣工验收合格之日起计算。</w:t>
      </w:r>
    </w:p>
    <w:p w14:paraId="2EAD8CF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olor w:val="000000"/>
          <w:sz w:val="24"/>
          <w:szCs w:val="24"/>
          <w:highlight w:val="none"/>
        </w:rPr>
      </w:pPr>
      <w:r>
        <w:rPr>
          <w:rFonts w:hint="eastAsia" w:ascii="黑体" w:hAnsi="黑体" w:eastAsia="黑体"/>
          <w:color w:val="000000"/>
          <w:sz w:val="24"/>
          <w:szCs w:val="24"/>
          <w:highlight w:val="none"/>
          <w:lang w:eastAsia="zh-CN"/>
        </w:rPr>
        <w:t>八</w:t>
      </w:r>
      <w:r>
        <w:rPr>
          <w:rFonts w:hint="eastAsia" w:ascii="黑体" w:hAnsi="黑体" w:eastAsia="黑体"/>
          <w:color w:val="000000"/>
          <w:sz w:val="24"/>
          <w:szCs w:val="24"/>
          <w:highlight w:val="none"/>
        </w:rPr>
        <w:t>、</w:t>
      </w:r>
      <w:r>
        <w:rPr>
          <w:rFonts w:hint="eastAsia" w:ascii="黑体" w:hAnsi="黑体" w:eastAsia="黑体" w:cs="Times New Roman"/>
          <w:color w:val="000000"/>
          <w:sz w:val="24"/>
          <w:szCs w:val="24"/>
          <w:highlight w:val="none"/>
        </w:rPr>
        <w:t>安全文明施工</w:t>
      </w:r>
    </w:p>
    <w:p w14:paraId="0CFB258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安全目标：杜绝死亡、重伤负伤事故。承包人在施工期间，应严格执行国家、山东省和青岛市有关建设工程安全、文明施工的规定。</w:t>
      </w:r>
    </w:p>
    <w:p w14:paraId="5F367CA9">
      <w:pPr>
        <w:adjustRightInd/>
        <w:snapToGrid/>
        <w:spacing w:after="0"/>
        <w:rPr>
          <w:rFonts w:ascii="黑体" w:hAnsi="黑体" w:eastAsia="黑体" w:cs="Times New Roman"/>
          <w:color w:val="000000"/>
          <w:sz w:val="24"/>
          <w:szCs w:val="24"/>
          <w:highlight w:val="none"/>
        </w:rPr>
      </w:pPr>
      <w:r>
        <w:rPr>
          <w:rFonts w:hint="eastAsia" w:ascii="黑体" w:hAnsi="黑体" w:eastAsia="黑体" w:cs="Times New Roman"/>
          <w:color w:val="000000"/>
          <w:sz w:val="24"/>
          <w:szCs w:val="24"/>
          <w:highlight w:val="none"/>
          <w:lang w:eastAsia="zh-CN"/>
        </w:rPr>
        <w:t>九</w:t>
      </w:r>
      <w:r>
        <w:rPr>
          <w:rFonts w:hint="eastAsia" w:ascii="黑体" w:hAnsi="黑体" w:eastAsia="黑体" w:cs="Times New Roman"/>
          <w:color w:val="000000"/>
          <w:sz w:val="24"/>
          <w:szCs w:val="24"/>
          <w:highlight w:val="none"/>
        </w:rPr>
        <w:t>、</w:t>
      </w:r>
      <w:r>
        <w:rPr>
          <w:rFonts w:ascii="黑体" w:hAnsi="黑体" w:eastAsia="黑体" w:cs="Times New Roman"/>
          <w:color w:val="000000"/>
          <w:sz w:val="24"/>
          <w:szCs w:val="24"/>
          <w:highlight w:val="none"/>
        </w:rPr>
        <w:t>工程量清单</w:t>
      </w:r>
    </w:p>
    <w:tbl>
      <w:tblPr>
        <w:tblStyle w:val="27"/>
        <w:tblW w:w="5000" w:type="pct"/>
        <w:tblInd w:w="0" w:type="dxa"/>
        <w:tblLayout w:type="autofit"/>
        <w:tblCellMar>
          <w:top w:w="0" w:type="dxa"/>
          <w:left w:w="108" w:type="dxa"/>
          <w:bottom w:w="0" w:type="dxa"/>
          <w:right w:w="108" w:type="dxa"/>
        </w:tblCellMar>
      </w:tblPr>
      <w:tblGrid>
        <w:gridCol w:w="598"/>
        <w:gridCol w:w="3748"/>
        <w:gridCol w:w="542"/>
        <w:gridCol w:w="1397"/>
        <w:gridCol w:w="1330"/>
        <w:gridCol w:w="1671"/>
      </w:tblGrid>
      <w:tr w14:paraId="5C8E2F8A">
        <w:tblPrEx>
          <w:tblCellMar>
            <w:top w:w="0" w:type="dxa"/>
            <w:left w:w="108" w:type="dxa"/>
            <w:bottom w:w="0" w:type="dxa"/>
            <w:right w:w="108" w:type="dxa"/>
          </w:tblCellMar>
        </w:tblPrEx>
        <w:trPr>
          <w:trHeight w:val="255" w:hRule="atLeast"/>
        </w:trPr>
        <w:tc>
          <w:tcPr>
            <w:tcW w:w="5000" w:type="pct"/>
            <w:gridSpan w:val="6"/>
            <w:tcBorders>
              <w:top w:val="nil"/>
              <w:left w:val="nil"/>
              <w:bottom w:val="single" w:color="auto" w:sz="4" w:space="0"/>
              <w:right w:val="nil"/>
            </w:tcBorders>
            <w:shd w:val="clear" w:color="auto" w:fill="auto"/>
            <w:vAlign w:val="center"/>
          </w:tcPr>
          <w:p w14:paraId="657B5198">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工程名称:青岛北岸储能产业园110kV变电站外线工程（电缆敷设）</w:t>
            </w:r>
          </w:p>
        </w:tc>
      </w:tr>
      <w:tr w14:paraId="5C55A572">
        <w:tblPrEx>
          <w:tblCellMar>
            <w:top w:w="0" w:type="dxa"/>
            <w:left w:w="108" w:type="dxa"/>
            <w:bottom w:w="0" w:type="dxa"/>
            <w:right w:w="108" w:type="dxa"/>
          </w:tblCellMar>
        </w:tblPrEx>
        <w:trPr>
          <w:trHeight w:val="379" w:hRule="atLeast"/>
        </w:trPr>
        <w:tc>
          <w:tcPr>
            <w:tcW w:w="322" w:type="pct"/>
            <w:vMerge w:val="restart"/>
            <w:tcBorders>
              <w:top w:val="nil"/>
              <w:left w:val="single" w:color="auto" w:sz="4" w:space="0"/>
              <w:bottom w:val="single" w:color="auto" w:sz="4" w:space="0"/>
              <w:right w:val="single" w:color="auto" w:sz="4" w:space="0"/>
            </w:tcBorders>
            <w:shd w:val="clear" w:color="auto" w:fill="auto"/>
            <w:vAlign w:val="center"/>
          </w:tcPr>
          <w:p w14:paraId="227525FC">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序号</w:t>
            </w:r>
          </w:p>
        </w:tc>
        <w:tc>
          <w:tcPr>
            <w:tcW w:w="2018" w:type="pct"/>
            <w:vMerge w:val="restart"/>
            <w:tcBorders>
              <w:top w:val="nil"/>
              <w:left w:val="single" w:color="auto" w:sz="4" w:space="0"/>
              <w:bottom w:val="single" w:color="auto" w:sz="4" w:space="0"/>
              <w:right w:val="single" w:color="auto" w:sz="4" w:space="0"/>
            </w:tcBorders>
            <w:shd w:val="clear" w:color="auto" w:fill="auto"/>
            <w:vAlign w:val="center"/>
          </w:tcPr>
          <w:p w14:paraId="501F7156">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项目名称</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项目特征</w:t>
            </w:r>
          </w:p>
        </w:tc>
        <w:tc>
          <w:tcPr>
            <w:tcW w:w="292" w:type="pct"/>
            <w:vMerge w:val="restart"/>
            <w:tcBorders>
              <w:top w:val="nil"/>
              <w:left w:val="single" w:color="auto" w:sz="4" w:space="0"/>
              <w:bottom w:val="single" w:color="auto" w:sz="4" w:space="0"/>
              <w:right w:val="single" w:color="auto" w:sz="4" w:space="0"/>
            </w:tcBorders>
            <w:shd w:val="clear" w:color="auto" w:fill="auto"/>
            <w:vAlign w:val="center"/>
          </w:tcPr>
          <w:p w14:paraId="3D037D0F">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计量</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单位</w:t>
            </w:r>
          </w:p>
        </w:tc>
        <w:tc>
          <w:tcPr>
            <w:tcW w:w="752" w:type="pct"/>
            <w:vMerge w:val="restart"/>
            <w:tcBorders>
              <w:top w:val="nil"/>
              <w:left w:val="single" w:color="auto" w:sz="4" w:space="0"/>
              <w:bottom w:val="single" w:color="auto" w:sz="4" w:space="0"/>
              <w:right w:val="single" w:color="auto" w:sz="4" w:space="0"/>
            </w:tcBorders>
            <w:shd w:val="clear" w:color="auto" w:fill="auto"/>
            <w:vAlign w:val="center"/>
          </w:tcPr>
          <w:p w14:paraId="1B7E4380">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工程量</w:t>
            </w:r>
          </w:p>
        </w:tc>
        <w:tc>
          <w:tcPr>
            <w:tcW w:w="1614" w:type="pct"/>
            <w:gridSpan w:val="2"/>
            <w:tcBorders>
              <w:top w:val="single" w:color="auto" w:sz="4" w:space="0"/>
              <w:left w:val="nil"/>
              <w:bottom w:val="single" w:color="auto" w:sz="4" w:space="0"/>
              <w:right w:val="single" w:color="000000" w:sz="4" w:space="0"/>
            </w:tcBorders>
            <w:shd w:val="clear" w:color="auto" w:fill="auto"/>
            <w:vAlign w:val="center"/>
          </w:tcPr>
          <w:p w14:paraId="73784CC9">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金额（元）税率3%</w:t>
            </w:r>
          </w:p>
        </w:tc>
      </w:tr>
      <w:tr w14:paraId="0B94EB77">
        <w:tblPrEx>
          <w:tblCellMar>
            <w:top w:w="0" w:type="dxa"/>
            <w:left w:w="108" w:type="dxa"/>
            <w:bottom w:w="0" w:type="dxa"/>
            <w:right w:w="108" w:type="dxa"/>
          </w:tblCellMar>
        </w:tblPrEx>
        <w:trPr>
          <w:trHeight w:val="379" w:hRule="atLeast"/>
        </w:trPr>
        <w:tc>
          <w:tcPr>
            <w:tcW w:w="322" w:type="pct"/>
            <w:vMerge w:val="continue"/>
            <w:tcBorders>
              <w:top w:val="nil"/>
              <w:left w:val="single" w:color="auto" w:sz="4" w:space="0"/>
              <w:bottom w:val="single" w:color="auto" w:sz="4" w:space="0"/>
              <w:right w:val="single" w:color="auto" w:sz="4" w:space="0"/>
            </w:tcBorders>
            <w:vAlign w:val="center"/>
          </w:tcPr>
          <w:p w14:paraId="088DF7F9">
            <w:pPr>
              <w:adjustRightInd/>
              <w:snapToGrid/>
              <w:spacing w:after="0"/>
              <w:rPr>
                <w:rFonts w:hint="eastAsia" w:ascii="仿宋" w:hAnsi="仿宋" w:eastAsia="仿宋" w:cs="仿宋"/>
                <w:b/>
                <w:bCs/>
                <w:sz w:val="16"/>
                <w:szCs w:val="16"/>
                <w:highlight w:val="none"/>
              </w:rPr>
            </w:pPr>
          </w:p>
        </w:tc>
        <w:tc>
          <w:tcPr>
            <w:tcW w:w="2018" w:type="pct"/>
            <w:vMerge w:val="continue"/>
            <w:tcBorders>
              <w:top w:val="nil"/>
              <w:left w:val="single" w:color="auto" w:sz="4" w:space="0"/>
              <w:bottom w:val="single" w:color="auto" w:sz="4" w:space="0"/>
              <w:right w:val="single" w:color="auto" w:sz="4" w:space="0"/>
            </w:tcBorders>
            <w:vAlign w:val="center"/>
          </w:tcPr>
          <w:p w14:paraId="12E47454">
            <w:pPr>
              <w:adjustRightInd/>
              <w:snapToGrid/>
              <w:spacing w:after="0"/>
              <w:rPr>
                <w:rFonts w:hint="eastAsia" w:ascii="仿宋" w:hAnsi="仿宋" w:eastAsia="仿宋" w:cs="仿宋"/>
                <w:b/>
                <w:bCs/>
                <w:sz w:val="16"/>
                <w:szCs w:val="16"/>
                <w:highlight w:val="none"/>
              </w:rPr>
            </w:pPr>
          </w:p>
        </w:tc>
        <w:tc>
          <w:tcPr>
            <w:tcW w:w="292" w:type="pct"/>
            <w:vMerge w:val="continue"/>
            <w:tcBorders>
              <w:top w:val="nil"/>
              <w:left w:val="single" w:color="auto" w:sz="4" w:space="0"/>
              <w:bottom w:val="single" w:color="auto" w:sz="4" w:space="0"/>
              <w:right w:val="single" w:color="auto" w:sz="4" w:space="0"/>
            </w:tcBorders>
            <w:vAlign w:val="center"/>
          </w:tcPr>
          <w:p w14:paraId="13395BD8">
            <w:pPr>
              <w:adjustRightInd/>
              <w:snapToGrid/>
              <w:spacing w:after="0"/>
              <w:rPr>
                <w:rFonts w:hint="eastAsia" w:ascii="仿宋" w:hAnsi="仿宋" w:eastAsia="仿宋" w:cs="仿宋"/>
                <w:b/>
                <w:bCs/>
                <w:sz w:val="16"/>
                <w:szCs w:val="16"/>
                <w:highlight w:val="none"/>
              </w:rPr>
            </w:pPr>
          </w:p>
        </w:tc>
        <w:tc>
          <w:tcPr>
            <w:tcW w:w="752" w:type="pct"/>
            <w:vMerge w:val="continue"/>
            <w:tcBorders>
              <w:top w:val="nil"/>
              <w:left w:val="single" w:color="auto" w:sz="4" w:space="0"/>
              <w:bottom w:val="single" w:color="auto" w:sz="4" w:space="0"/>
              <w:right w:val="single" w:color="auto" w:sz="4" w:space="0"/>
            </w:tcBorders>
            <w:vAlign w:val="center"/>
          </w:tcPr>
          <w:p w14:paraId="173760D4">
            <w:pPr>
              <w:adjustRightInd/>
              <w:snapToGrid/>
              <w:spacing w:after="0"/>
              <w:rPr>
                <w:rFonts w:hint="eastAsia" w:ascii="仿宋" w:hAnsi="仿宋" w:eastAsia="仿宋" w:cs="仿宋"/>
                <w:b/>
                <w:bCs/>
                <w:sz w:val="16"/>
                <w:szCs w:val="16"/>
                <w:highlight w:val="none"/>
              </w:rPr>
            </w:pPr>
          </w:p>
        </w:tc>
        <w:tc>
          <w:tcPr>
            <w:tcW w:w="716" w:type="pct"/>
            <w:vMerge w:val="restart"/>
            <w:tcBorders>
              <w:top w:val="nil"/>
              <w:left w:val="single" w:color="auto" w:sz="4" w:space="0"/>
              <w:bottom w:val="single" w:color="000000" w:sz="4" w:space="0"/>
              <w:right w:val="single" w:color="auto" w:sz="4" w:space="0"/>
            </w:tcBorders>
            <w:shd w:val="clear" w:color="auto" w:fill="auto"/>
            <w:vAlign w:val="center"/>
          </w:tcPr>
          <w:p w14:paraId="15267BE9">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控制单价</w:t>
            </w:r>
          </w:p>
        </w:tc>
        <w:tc>
          <w:tcPr>
            <w:tcW w:w="898" w:type="pct"/>
            <w:vMerge w:val="restart"/>
            <w:tcBorders>
              <w:top w:val="nil"/>
              <w:left w:val="single" w:color="auto" w:sz="4" w:space="0"/>
              <w:bottom w:val="single" w:color="000000" w:sz="4" w:space="0"/>
              <w:right w:val="single" w:color="auto" w:sz="4" w:space="0"/>
            </w:tcBorders>
            <w:shd w:val="clear" w:color="auto" w:fill="auto"/>
            <w:vAlign w:val="center"/>
          </w:tcPr>
          <w:p w14:paraId="0907EB36">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控制价合计</w:t>
            </w:r>
          </w:p>
        </w:tc>
      </w:tr>
      <w:tr w14:paraId="06B0F68E">
        <w:tblPrEx>
          <w:tblCellMar>
            <w:top w:w="0" w:type="dxa"/>
            <w:left w:w="108" w:type="dxa"/>
            <w:bottom w:w="0" w:type="dxa"/>
            <w:right w:w="108" w:type="dxa"/>
          </w:tblCellMar>
        </w:tblPrEx>
        <w:trPr>
          <w:trHeight w:val="420" w:hRule="atLeast"/>
        </w:trPr>
        <w:tc>
          <w:tcPr>
            <w:tcW w:w="322" w:type="pct"/>
            <w:vMerge w:val="continue"/>
            <w:tcBorders>
              <w:top w:val="nil"/>
              <w:left w:val="single" w:color="auto" w:sz="4" w:space="0"/>
              <w:bottom w:val="single" w:color="auto" w:sz="4" w:space="0"/>
              <w:right w:val="single" w:color="auto" w:sz="4" w:space="0"/>
            </w:tcBorders>
            <w:vAlign w:val="center"/>
          </w:tcPr>
          <w:p w14:paraId="11287C7D">
            <w:pPr>
              <w:adjustRightInd/>
              <w:snapToGrid/>
              <w:spacing w:after="0"/>
              <w:rPr>
                <w:rFonts w:hint="eastAsia" w:ascii="仿宋" w:hAnsi="仿宋" w:eastAsia="仿宋" w:cs="仿宋"/>
                <w:b/>
                <w:bCs/>
                <w:sz w:val="16"/>
                <w:szCs w:val="16"/>
                <w:highlight w:val="none"/>
              </w:rPr>
            </w:pPr>
          </w:p>
        </w:tc>
        <w:tc>
          <w:tcPr>
            <w:tcW w:w="2018" w:type="pct"/>
            <w:vMerge w:val="continue"/>
            <w:tcBorders>
              <w:top w:val="nil"/>
              <w:left w:val="single" w:color="auto" w:sz="4" w:space="0"/>
              <w:bottom w:val="single" w:color="auto" w:sz="4" w:space="0"/>
              <w:right w:val="single" w:color="auto" w:sz="4" w:space="0"/>
            </w:tcBorders>
            <w:vAlign w:val="center"/>
          </w:tcPr>
          <w:p w14:paraId="4807B6A4">
            <w:pPr>
              <w:adjustRightInd/>
              <w:snapToGrid/>
              <w:spacing w:after="0"/>
              <w:rPr>
                <w:rFonts w:hint="eastAsia" w:ascii="仿宋" w:hAnsi="仿宋" w:eastAsia="仿宋" w:cs="仿宋"/>
                <w:b/>
                <w:bCs/>
                <w:sz w:val="16"/>
                <w:szCs w:val="16"/>
                <w:highlight w:val="none"/>
              </w:rPr>
            </w:pPr>
          </w:p>
        </w:tc>
        <w:tc>
          <w:tcPr>
            <w:tcW w:w="292" w:type="pct"/>
            <w:vMerge w:val="continue"/>
            <w:tcBorders>
              <w:top w:val="nil"/>
              <w:left w:val="single" w:color="auto" w:sz="4" w:space="0"/>
              <w:bottom w:val="single" w:color="auto" w:sz="4" w:space="0"/>
              <w:right w:val="single" w:color="auto" w:sz="4" w:space="0"/>
            </w:tcBorders>
            <w:vAlign w:val="center"/>
          </w:tcPr>
          <w:p w14:paraId="017E6FF6">
            <w:pPr>
              <w:adjustRightInd/>
              <w:snapToGrid/>
              <w:spacing w:after="0"/>
              <w:rPr>
                <w:rFonts w:hint="eastAsia" w:ascii="仿宋" w:hAnsi="仿宋" w:eastAsia="仿宋" w:cs="仿宋"/>
                <w:b/>
                <w:bCs/>
                <w:sz w:val="16"/>
                <w:szCs w:val="16"/>
                <w:highlight w:val="none"/>
              </w:rPr>
            </w:pPr>
          </w:p>
        </w:tc>
        <w:tc>
          <w:tcPr>
            <w:tcW w:w="752" w:type="pct"/>
            <w:vMerge w:val="continue"/>
            <w:tcBorders>
              <w:top w:val="nil"/>
              <w:left w:val="single" w:color="auto" w:sz="4" w:space="0"/>
              <w:bottom w:val="single" w:color="auto" w:sz="4" w:space="0"/>
              <w:right w:val="single" w:color="auto" w:sz="4" w:space="0"/>
            </w:tcBorders>
            <w:vAlign w:val="center"/>
          </w:tcPr>
          <w:p w14:paraId="3EFDE548">
            <w:pPr>
              <w:adjustRightInd/>
              <w:snapToGrid/>
              <w:spacing w:after="0"/>
              <w:rPr>
                <w:rFonts w:hint="eastAsia" w:ascii="仿宋" w:hAnsi="仿宋" w:eastAsia="仿宋" w:cs="仿宋"/>
                <w:b/>
                <w:bCs/>
                <w:sz w:val="16"/>
                <w:szCs w:val="16"/>
                <w:highlight w:val="none"/>
              </w:rPr>
            </w:pPr>
          </w:p>
        </w:tc>
        <w:tc>
          <w:tcPr>
            <w:tcW w:w="716" w:type="pct"/>
            <w:vMerge w:val="continue"/>
            <w:tcBorders>
              <w:top w:val="nil"/>
              <w:left w:val="single" w:color="auto" w:sz="4" w:space="0"/>
              <w:bottom w:val="single" w:color="000000" w:sz="4" w:space="0"/>
              <w:right w:val="single" w:color="auto" w:sz="4" w:space="0"/>
            </w:tcBorders>
            <w:vAlign w:val="center"/>
          </w:tcPr>
          <w:p w14:paraId="08AEC3F1">
            <w:pPr>
              <w:adjustRightInd/>
              <w:snapToGrid/>
              <w:spacing w:after="0"/>
              <w:rPr>
                <w:rFonts w:hint="eastAsia" w:ascii="仿宋" w:hAnsi="仿宋" w:eastAsia="仿宋" w:cs="仿宋"/>
                <w:b/>
                <w:bCs/>
                <w:sz w:val="16"/>
                <w:szCs w:val="16"/>
                <w:highlight w:val="none"/>
              </w:rPr>
            </w:pPr>
          </w:p>
        </w:tc>
        <w:tc>
          <w:tcPr>
            <w:tcW w:w="898" w:type="pct"/>
            <w:vMerge w:val="continue"/>
            <w:tcBorders>
              <w:top w:val="nil"/>
              <w:left w:val="single" w:color="auto" w:sz="4" w:space="0"/>
              <w:bottom w:val="single" w:color="000000" w:sz="4" w:space="0"/>
              <w:right w:val="single" w:color="auto" w:sz="4" w:space="0"/>
            </w:tcBorders>
            <w:vAlign w:val="center"/>
          </w:tcPr>
          <w:p w14:paraId="6B993B6C">
            <w:pPr>
              <w:adjustRightInd/>
              <w:snapToGrid/>
              <w:spacing w:after="0"/>
              <w:rPr>
                <w:rFonts w:hint="eastAsia" w:ascii="仿宋" w:hAnsi="仿宋" w:eastAsia="仿宋" w:cs="仿宋"/>
                <w:b/>
                <w:bCs/>
                <w:sz w:val="16"/>
                <w:szCs w:val="16"/>
                <w:highlight w:val="none"/>
              </w:rPr>
            </w:pPr>
          </w:p>
        </w:tc>
      </w:tr>
      <w:tr w14:paraId="4BD5C4B8">
        <w:tblPrEx>
          <w:tblCellMar>
            <w:top w:w="0" w:type="dxa"/>
            <w:left w:w="108" w:type="dxa"/>
            <w:bottom w:w="0" w:type="dxa"/>
            <w:right w:w="108" w:type="dxa"/>
          </w:tblCellMar>
        </w:tblPrEx>
        <w:trPr>
          <w:trHeight w:val="495"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066BEEA2">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2018" w:type="pct"/>
            <w:tcBorders>
              <w:top w:val="nil"/>
              <w:left w:val="nil"/>
              <w:bottom w:val="single" w:color="auto" w:sz="4" w:space="0"/>
              <w:right w:val="single" w:color="auto" w:sz="4" w:space="0"/>
            </w:tcBorders>
            <w:shd w:val="clear" w:color="auto" w:fill="auto"/>
            <w:vAlign w:val="center"/>
          </w:tcPr>
          <w:p w14:paraId="384E22CF">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电缆输电线路安装工程</w:t>
            </w:r>
          </w:p>
        </w:tc>
        <w:tc>
          <w:tcPr>
            <w:tcW w:w="292" w:type="pct"/>
            <w:tcBorders>
              <w:top w:val="nil"/>
              <w:left w:val="nil"/>
              <w:bottom w:val="single" w:color="auto" w:sz="4" w:space="0"/>
              <w:right w:val="single" w:color="auto" w:sz="4" w:space="0"/>
            </w:tcBorders>
            <w:shd w:val="clear" w:color="auto" w:fill="auto"/>
            <w:vAlign w:val="center"/>
          </w:tcPr>
          <w:p w14:paraId="533857F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52" w:type="pct"/>
            <w:tcBorders>
              <w:top w:val="nil"/>
              <w:left w:val="nil"/>
              <w:bottom w:val="single" w:color="auto" w:sz="4" w:space="0"/>
              <w:right w:val="single" w:color="auto" w:sz="4" w:space="0"/>
            </w:tcBorders>
            <w:shd w:val="clear" w:color="auto" w:fill="auto"/>
            <w:noWrap/>
            <w:vAlign w:val="center"/>
          </w:tcPr>
          <w:p w14:paraId="289BC642">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16" w:type="pct"/>
            <w:tcBorders>
              <w:top w:val="nil"/>
              <w:left w:val="nil"/>
              <w:bottom w:val="single" w:color="auto" w:sz="4" w:space="0"/>
              <w:right w:val="single" w:color="auto" w:sz="4" w:space="0"/>
            </w:tcBorders>
            <w:shd w:val="clear" w:color="auto" w:fill="auto"/>
            <w:noWrap/>
            <w:vAlign w:val="center"/>
          </w:tcPr>
          <w:p w14:paraId="0D5F779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898" w:type="pct"/>
            <w:tcBorders>
              <w:top w:val="nil"/>
              <w:left w:val="nil"/>
              <w:bottom w:val="single" w:color="auto" w:sz="4" w:space="0"/>
              <w:right w:val="single" w:color="auto" w:sz="4" w:space="0"/>
            </w:tcBorders>
            <w:shd w:val="clear" w:color="auto" w:fill="auto"/>
            <w:noWrap/>
            <w:vAlign w:val="center"/>
          </w:tcPr>
          <w:p w14:paraId="47204122">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r>
      <w:tr w14:paraId="2DC8C04D">
        <w:tblPrEx>
          <w:tblCellMar>
            <w:top w:w="0" w:type="dxa"/>
            <w:left w:w="108" w:type="dxa"/>
            <w:bottom w:w="0" w:type="dxa"/>
            <w:right w:w="108" w:type="dxa"/>
          </w:tblCellMar>
        </w:tblPrEx>
        <w:trPr>
          <w:trHeight w:val="495" w:hRule="atLeast"/>
        </w:trPr>
        <w:tc>
          <w:tcPr>
            <w:tcW w:w="322" w:type="pct"/>
            <w:tcBorders>
              <w:top w:val="nil"/>
              <w:left w:val="single" w:color="auto" w:sz="4" w:space="0"/>
              <w:bottom w:val="single" w:color="auto" w:sz="4" w:space="0"/>
              <w:right w:val="single" w:color="auto" w:sz="4" w:space="0"/>
            </w:tcBorders>
            <w:shd w:val="clear" w:color="auto" w:fill="auto"/>
            <w:vAlign w:val="center"/>
          </w:tcPr>
          <w:p w14:paraId="18CF547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2018" w:type="pct"/>
            <w:tcBorders>
              <w:top w:val="nil"/>
              <w:left w:val="nil"/>
              <w:bottom w:val="single" w:color="auto" w:sz="4" w:space="0"/>
              <w:right w:val="single" w:color="auto" w:sz="4" w:space="0"/>
            </w:tcBorders>
            <w:shd w:val="clear" w:color="auto" w:fill="auto"/>
            <w:vAlign w:val="center"/>
          </w:tcPr>
          <w:p w14:paraId="7E3572F2">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电缆敷设</w:t>
            </w:r>
          </w:p>
        </w:tc>
        <w:tc>
          <w:tcPr>
            <w:tcW w:w="292" w:type="pct"/>
            <w:tcBorders>
              <w:top w:val="nil"/>
              <w:left w:val="nil"/>
              <w:bottom w:val="single" w:color="auto" w:sz="4" w:space="0"/>
              <w:right w:val="single" w:color="auto" w:sz="4" w:space="0"/>
            </w:tcBorders>
            <w:shd w:val="clear" w:color="auto" w:fill="auto"/>
            <w:vAlign w:val="center"/>
          </w:tcPr>
          <w:p w14:paraId="1BFA5C21">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52" w:type="pct"/>
            <w:tcBorders>
              <w:top w:val="nil"/>
              <w:left w:val="nil"/>
              <w:bottom w:val="single" w:color="auto" w:sz="4" w:space="0"/>
              <w:right w:val="single" w:color="auto" w:sz="4" w:space="0"/>
            </w:tcBorders>
            <w:shd w:val="clear" w:color="auto" w:fill="auto"/>
            <w:noWrap/>
            <w:vAlign w:val="center"/>
          </w:tcPr>
          <w:p w14:paraId="289CA561">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16" w:type="pct"/>
            <w:tcBorders>
              <w:top w:val="nil"/>
              <w:left w:val="nil"/>
              <w:bottom w:val="single" w:color="auto" w:sz="4" w:space="0"/>
              <w:right w:val="single" w:color="auto" w:sz="4" w:space="0"/>
            </w:tcBorders>
            <w:shd w:val="clear" w:color="auto" w:fill="auto"/>
            <w:noWrap/>
            <w:vAlign w:val="center"/>
          </w:tcPr>
          <w:p w14:paraId="4B6C1F4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898" w:type="pct"/>
            <w:tcBorders>
              <w:top w:val="nil"/>
              <w:left w:val="nil"/>
              <w:bottom w:val="single" w:color="auto" w:sz="4" w:space="0"/>
              <w:right w:val="single" w:color="auto" w:sz="4" w:space="0"/>
            </w:tcBorders>
            <w:shd w:val="clear" w:color="auto" w:fill="auto"/>
            <w:noWrap/>
            <w:vAlign w:val="center"/>
          </w:tcPr>
          <w:p w14:paraId="52011773">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r>
      <w:tr w14:paraId="6C7E3540">
        <w:tblPrEx>
          <w:tblCellMar>
            <w:top w:w="0" w:type="dxa"/>
            <w:left w:w="108" w:type="dxa"/>
            <w:bottom w:w="0" w:type="dxa"/>
            <w:right w:w="108" w:type="dxa"/>
          </w:tblCellMar>
        </w:tblPrEx>
        <w:trPr>
          <w:trHeight w:val="1620" w:hRule="atLeast"/>
        </w:trPr>
        <w:tc>
          <w:tcPr>
            <w:tcW w:w="322" w:type="pct"/>
            <w:tcBorders>
              <w:top w:val="nil"/>
              <w:left w:val="single" w:color="auto" w:sz="4" w:space="0"/>
              <w:bottom w:val="nil"/>
              <w:right w:val="single" w:color="auto" w:sz="4" w:space="0"/>
            </w:tcBorders>
            <w:shd w:val="clear" w:color="auto" w:fill="auto"/>
            <w:vAlign w:val="center"/>
          </w:tcPr>
          <w:p w14:paraId="4D14146E">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2018" w:type="pct"/>
            <w:tcBorders>
              <w:top w:val="nil"/>
              <w:left w:val="nil"/>
              <w:bottom w:val="single" w:color="auto" w:sz="4" w:space="0"/>
              <w:right w:val="single" w:color="auto" w:sz="4" w:space="0"/>
            </w:tcBorders>
            <w:shd w:val="clear" w:color="auto" w:fill="auto"/>
            <w:vAlign w:val="center"/>
          </w:tcPr>
          <w:p w14:paraId="1BE4CA97">
            <w:pPr>
              <w:adjustRightInd/>
              <w:snapToGrid/>
              <w:spacing w:after="0"/>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管内敷设</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1.电压等级:110kV</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2.型号、规格、截面:ZC-YJLW02-64/110-1*630mm2</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3.电缆封堵:符合规范及设计要求</w:t>
            </w:r>
          </w:p>
        </w:tc>
        <w:tc>
          <w:tcPr>
            <w:tcW w:w="292" w:type="pct"/>
            <w:tcBorders>
              <w:top w:val="nil"/>
              <w:left w:val="nil"/>
              <w:bottom w:val="single" w:color="auto" w:sz="4" w:space="0"/>
              <w:right w:val="single" w:color="auto" w:sz="4" w:space="0"/>
            </w:tcBorders>
            <w:shd w:val="clear" w:color="auto" w:fill="auto"/>
            <w:vAlign w:val="center"/>
          </w:tcPr>
          <w:p w14:paraId="51E7517E">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m</w:t>
            </w:r>
          </w:p>
        </w:tc>
        <w:tc>
          <w:tcPr>
            <w:tcW w:w="752" w:type="pct"/>
            <w:tcBorders>
              <w:top w:val="nil"/>
              <w:left w:val="nil"/>
              <w:bottom w:val="single" w:color="auto" w:sz="4" w:space="0"/>
              <w:right w:val="single" w:color="auto" w:sz="4" w:space="0"/>
            </w:tcBorders>
            <w:shd w:val="clear" w:color="auto" w:fill="auto"/>
            <w:noWrap/>
            <w:vAlign w:val="center"/>
          </w:tcPr>
          <w:p w14:paraId="3DCF55C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53000.00</w:t>
            </w:r>
          </w:p>
        </w:tc>
        <w:tc>
          <w:tcPr>
            <w:tcW w:w="716" w:type="pct"/>
            <w:tcBorders>
              <w:top w:val="nil"/>
              <w:left w:val="nil"/>
              <w:bottom w:val="nil"/>
              <w:right w:val="single" w:color="auto" w:sz="4" w:space="0"/>
            </w:tcBorders>
            <w:shd w:val="clear" w:color="auto" w:fill="auto"/>
            <w:noWrap/>
            <w:vAlign w:val="center"/>
          </w:tcPr>
          <w:p w14:paraId="3DD1E7E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72.76 </w:t>
            </w:r>
          </w:p>
        </w:tc>
        <w:tc>
          <w:tcPr>
            <w:tcW w:w="898" w:type="pct"/>
            <w:tcBorders>
              <w:top w:val="nil"/>
              <w:left w:val="nil"/>
              <w:bottom w:val="single" w:color="auto" w:sz="4" w:space="0"/>
              <w:right w:val="single" w:color="auto" w:sz="4" w:space="0"/>
            </w:tcBorders>
            <w:shd w:val="clear" w:color="auto" w:fill="auto"/>
            <w:noWrap/>
            <w:vAlign w:val="center"/>
          </w:tcPr>
          <w:p w14:paraId="0C23FC9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3856280.00 </w:t>
            </w:r>
          </w:p>
        </w:tc>
      </w:tr>
      <w:tr w14:paraId="64CC9B86">
        <w:tblPrEx>
          <w:tblCellMar>
            <w:top w:w="0" w:type="dxa"/>
            <w:left w:w="108" w:type="dxa"/>
            <w:bottom w:w="0" w:type="dxa"/>
            <w:right w:w="108" w:type="dxa"/>
          </w:tblCellMar>
        </w:tblPrEx>
        <w:trPr>
          <w:trHeight w:val="870" w:hRule="atLeast"/>
        </w:trPr>
        <w:tc>
          <w:tcPr>
            <w:tcW w:w="322" w:type="pct"/>
            <w:tcBorders>
              <w:top w:val="single" w:color="auto" w:sz="4" w:space="0"/>
              <w:left w:val="single" w:color="auto" w:sz="4" w:space="0"/>
              <w:bottom w:val="single" w:color="000000" w:sz="4" w:space="0"/>
              <w:right w:val="single" w:color="auto" w:sz="4" w:space="0"/>
            </w:tcBorders>
            <w:shd w:val="clear" w:color="auto" w:fill="auto"/>
            <w:vAlign w:val="center"/>
          </w:tcPr>
          <w:p w14:paraId="46049210">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2018" w:type="pct"/>
            <w:tcBorders>
              <w:top w:val="nil"/>
              <w:left w:val="nil"/>
              <w:bottom w:val="single" w:color="auto" w:sz="4" w:space="0"/>
              <w:right w:val="single" w:color="auto" w:sz="4" w:space="0"/>
            </w:tcBorders>
            <w:shd w:val="clear" w:color="auto" w:fill="auto"/>
            <w:vAlign w:val="center"/>
          </w:tcPr>
          <w:p w14:paraId="41CEC8B7">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合计</w:t>
            </w:r>
          </w:p>
        </w:tc>
        <w:tc>
          <w:tcPr>
            <w:tcW w:w="292" w:type="pct"/>
            <w:tcBorders>
              <w:top w:val="nil"/>
              <w:left w:val="nil"/>
              <w:bottom w:val="single" w:color="auto" w:sz="4" w:space="0"/>
              <w:right w:val="single" w:color="auto" w:sz="4" w:space="0"/>
            </w:tcBorders>
            <w:shd w:val="clear" w:color="auto" w:fill="auto"/>
            <w:vAlign w:val="center"/>
          </w:tcPr>
          <w:p w14:paraId="7F76CA7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52" w:type="pct"/>
            <w:tcBorders>
              <w:top w:val="nil"/>
              <w:left w:val="nil"/>
              <w:bottom w:val="single" w:color="auto" w:sz="4" w:space="0"/>
              <w:right w:val="single" w:color="auto" w:sz="4" w:space="0"/>
            </w:tcBorders>
            <w:shd w:val="clear" w:color="auto" w:fill="auto"/>
            <w:noWrap/>
            <w:vAlign w:val="center"/>
          </w:tcPr>
          <w:p w14:paraId="10530492">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16" w:type="pct"/>
            <w:tcBorders>
              <w:top w:val="single" w:color="auto" w:sz="4" w:space="0"/>
              <w:left w:val="nil"/>
              <w:bottom w:val="single" w:color="000000" w:sz="4" w:space="0"/>
              <w:right w:val="single" w:color="auto" w:sz="4" w:space="0"/>
            </w:tcBorders>
            <w:shd w:val="clear" w:color="auto" w:fill="auto"/>
            <w:noWrap/>
            <w:vAlign w:val="center"/>
          </w:tcPr>
          <w:p w14:paraId="0BAA337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898" w:type="pct"/>
            <w:tcBorders>
              <w:top w:val="nil"/>
              <w:left w:val="nil"/>
              <w:bottom w:val="single" w:color="000000" w:sz="4" w:space="0"/>
              <w:right w:val="single" w:color="auto" w:sz="4" w:space="0"/>
            </w:tcBorders>
            <w:shd w:val="clear" w:color="auto" w:fill="auto"/>
            <w:noWrap/>
            <w:vAlign w:val="center"/>
          </w:tcPr>
          <w:p w14:paraId="4A511A6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3856280.00 </w:t>
            </w:r>
          </w:p>
        </w:tc>
      </w:tr>
      <w:tr w14:paraId="46402964">
        <w:tblPrEx>
          <w:tblCellMar>
            <w:top w:w="0" w:type="dxa"/>
            <w:left w:w="108" w:type="dxa"/>
            <w:bottom w:w="0" w:type="dxa"/>
            <w:right w:w="108" w:type="dxa"/>
          </w:tblCellMar>
        </w:tblPrEx>
        <w:trPr>
          <w:trHeight w:val="1020" w:hRule="atLeast"/>
        </w:trPr>
        <w:tc>
          <w:tcPr>
            <w:tcW w:w="5000" w:type="pct"/>
            <w:gridSpan w:val="6"/>
            <w:tcBorders>
              <w:top w:val="nil"/>
              <w:left w:val="nil"/>
              <w:bottom w:val="nil"/>
              <w:right w:val="nil"/>
            </w:tcBorders>
            <w:shd w:val="clear" w:color="auto" w:fill="auto"/>
            <w:vAlign w:val="center"/>
          </w:tcPr>
          <w:p w14:paraId="1D5CA36F">
            <w:pPr>
              <w:adjustRightInd/>
              <w:snapToGrid/>
              <w:spacing w:after="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备注：上列控制价单价中不包含电缆主材价，包括为完成清单及施工方案范围内所需的人工费、其他材料费、机械费、措施费、管理费、利润、规费及税金（其中增值税税率为3%）、风险费、保险费、工程验收等费用。已考虑本工程所有责任、义务及不可抗力以外的风险因素等所发生的费用，除本工程合同约定外，投标人不得再向招标人主张任何其他费用和权利。</w:t>
            </w:r>
          </w:p>
        </w:tc>
      </w:tr>
    </w:tbl>
    <w:p w14:paraId="1069F310">
      <w:pPr>
        <w:rPr>
          <w:rFonts w:ascii="仿宋" w:hAnsi="仿宋" w:eastAsia="仿宋"/>
          <w:b/>
          <w:sz w:val="28"/>
          <w:szCs w:val="28"/>
          <w:highlight w:val="none"/>
        </w:rPr>
      </w:pPr>
      <w:r>
        <w:rPr>
          <w:rFonts w:ascii="仿宋" w:hAnsi="仿宋" w:eastAsia="仿宋"/>
          <w:b/>
          <w:sz w:val="28"/>
          <w:szCs w:val="28"/>
          <w:highlight w:val="none"/>
        </w:rPr>
        <w:br w:type="page"/>
      </w:r>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rPr>
        <w:t>投标活动前</w:t>
      </w:r>
      <w:r>
        <w:rPr>
          <w:rFonts w:ascii="仿宋" w:hAnsi="仿宋" w:eastAsia="仿宋"/>
          <w:sz w:val="24"/>
          <w:szCs w:val="24"/>
        </w:rPr>
        <w:t>3</w:t>
      </w:r>
      <w:r>
        <w:rPr>
          <w:rFonts w:hint="eastAsia" w:ascii="仿宋" w:hAnsi="仿宋" w:eastAsia="仿宋"/>
          <w:sz w:val="24"/>
          <w:szCs w:val="24"/>
        </w:rPr>
        <w:t>年内，我方被公开披露或查处的违法违规行为有：，但在经营活动中：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 、组织机构代码证或统一社会信用代码；②法定代表人、身份证号码；③项目负责人、身份证号码）。</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rPr>
        <w:t>投标人：</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备注：1.投标人没有被公开披露或查处违法违规行为的，注明“无”即可。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w:t>
      </w:r>
      <w:r>
        <w:rPr>
          <w:rFonts w:hint="eastAsia" w:ascii="仿宋" w:hAnsi="仿宋" w:eastAsia="仿宋"/>
          <w:sz w:val="24"/>
          <w:szCs w:val="24"/>
          <w:lang w:eastAsia="zh-CN"/>
        </w:rPr>
        <w:t>采购</w:t>
      </w:r>
      <w:r>
        <w:rPr>
          <w:rFonts w:hint="eastAsia" w:ascii="仿宋" w:hAnsi="仿宋" w:eastAsia="仿宋"/>
          <w:sz w:val="24"/>
          <w:szCs w:val="24"/>
        </w:rPr>
        <w:t>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0E4688F9">
      <w:pPr>
        <w:spacing w:line="440" w:lineRule="exact"/>
        <w:jc w:val="center"/>
        <w:rPr>
          <w:rFonts w:ascii="仿宋" w:hAnsi="仿宋" w:eastAsia="仿宋" w:cs="仿宋"/>
          <w:sz w:val="28"/>
          <w:szCs w:val="28"/>
        </w:rPr>
      </w:pPr>
      <w:bookmarkStart w:id="4" w:name="_Toc300835213"/>
      <w:bookmarkStart w:id="5" w:name="_Toc247514283"/>
      <w:bookmarkStart w:id="6" w:name="_Toc144974860"/>
      <w:bookmarkStart w:id="7" w:name="_Toc152045791"/>
      <w:bookmarkStart w:id="8" w:name="_Toc247527831"/>
      <w:bookmarkStart w:id="9" w:name="_Toc152042580"/>
      <w:r>
        <w:rPr>
          <w:rFonts w:hint="eastAsia" w:ascii="仿宋" w:hAnsi="仿宋" w:eastAsia="仿宋" w:cs="仿宋"/>
          <w:sz w:val="28"/>
          <w:szCs w:val="28"/>
        </w:rPr>
        <w:t>法定代表人身份证明</w:t>
      </w:r>
      <w:bookmarkEnd w:id="4"/>
      <w:bookmarkEnd w:id="5"/>
      <w:bookmarkEnd w:id="6"/>
      <w:bookmarkEnd w:id="7"/>
      <w:bookmarkEnd w:id="8"/>
      <w:bookmarkEnd w:id="9"/>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rPr>
        <w:t>投标人名称：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投标人：（公章）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6732C34F">
      <w:pPr>
        <w:widowControl/>
        <w:autoSpaceDE w:val="0"/>
        <w:autoSpaceDN w:val="0"/>
        <w:adjustRightInd w:val="0"/>
        <w:spacing w:line="460" w:lineRule="exact"/>
        <w:rPr>
          <w:rStyle w:val="50"/>
          <w:rFonts w:cs="仿宋"/>
          <w:sz w:val="24"/>
          <w:szCs w:val="24"/>
        </w:rPr>
      </w:pPr>
      <w:r>
        <w:rPr>
          <w:rStyle w:val="50"/>
          <w:rFonts w:hint="eastAsia" w:cs="仿宋"/>
          <w:sz w:val="24"/>
          <w:szCs w:val="24"/>
        </w:rPr>
        <w:br w:type="page"/>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采购</w:t>
      </w:r>
      <w:r>
        <w:rPr>
          <w:rFonts w:hint="eastAsia" w:ascii="仿宋" w:hAnsi="仿宋" w:eastAsia="仿宋" w:cs="仿宋"/>
          <w:kern w:val="1"/>
          <w:sz w:val="24"/>
          <w:szCs w:val="24"/>
          <w:u w:val="single"/>
        </w:rPr>
        <w:t xml:space="preserve">人）  </w:t>
      </w:r>
      <w:r>
        <w:rPr>
          <w:rStyle w:val="50"/>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我</w:t>
      </w:r>
      <w:r>
        <w:rPr>
          <w:rFonts w:hint="eastAsia" w:ascii="仿宋" w:hAnsi="仿宋" w:eastAsia="仿宋" w:cs="仿宋"/>
          <w:kern w:val="1"/>
          <w:sz w:val="24"/>
          <w:szCs w:val="24"/>
          <w:u w:val="single"/>
        </w:rPr>
        <w:t xml:space="preserve">   （姓名） </w:t>
      </w:r>
      <w:r>
        <w:rPr>
          <w:rStyle w:val="50"/>
          <w:rFonts w:hint="eastAsia" w:cs="仿宋"/>
          <w:sz w:val="24"/>
          <w:szCs w:val="24"/>
        </w:rPr>
        <w:t>系</w:t>
      </w:r>
      <w:r>
        <w:rPr>
          <w:rFonts w:hint="eastAsia" w:ascii="仿宋" w:hAnsi="仿宋" w:eastAsia="仿宋" w:cs="仿宋"/>
          <w:kern w:val="1"/>
          <w:sz w:val="24"/>
          <w:szCs w:val="24"/>
          <w:u w:val="single"/>
        </w:rPr>
        <w:t xml:space="preserve">    （投标人名称）</w:t>
      </w:r>
      <w:r>
        <w:rPr>
          <w:rStyle w:val="50"/>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0"/>
          <w:rFonts w:hint="eastAsia" w:cs="仿宋"/>
          <w:sz w:val="24"/>
          <w:szCs w:val="24"/>
        </w:rPr>
        <w:t>为我公司本次项目的授权代表，代表我方办理本次投标、签约等相关事宜，签署全部有关的文件、协议、合同并具有法律效力。</w:t>
      </w:r>
    </w:p>
    <w:p w14:paraId="5FFA66A9">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本授权委托书于  年  月  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被授权代表姓名：             性 别：              年 龄：</w:t>
      </w:r>
    </w:p>
    <w:p w14:paraId="6411FAE6">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投标人（公章）：</w:t>
      </w:r>
    </w:p>
    <w:p w14:paraId="60EEAD84">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法定代表人（签字）：</w:t>
      </w:r>
    </w:p>
    <w:p w14:paraId="71139D8B">
      <w:pPr>
        <w:widowControl/>
        <w:autoSpaceDE w:val="0"/>
        <w:autoSpaceDN w:val="0"/>
        <w:adjustRightInd w:val="0"/>
        <w:ind w:right="-481" w:firstLine="5400"/>
        <w:rPr>
          <w:rStyle w:val="50"/>
          <w:rFonts w:cs="仿宋"/>
          <w:sz w:val="24"/>
          <w:szCs w:val="24"/>
        </w:rPr>
      </w:pPr>
    </w:p>
    <w:p w14:paraId="27CCEA4F">
      <w:pPr>
        <w:widowControl/>
        <w:autoSpaceDE w:val="0"/>
        <w:autoSpaceDN w:val="0"/>
        <w:adjustRightInd w:val="0"/>
        <w:ind w:right="-481" w:firstLine="5400"/>
        <w:rPr>
          <w:rStyle w:val="50"/>
          <w:rFonts w:cs="仿宋"/>
          <w:sz w:val="24"/>
          <w:szCs w:val="24"/>
        </w:rPr>
      </w:pPr>
      <w:r>
        <w:rPr>
          <w:rStyle w:val="50"/>
          <w:rFonts w:hint="eastAsia" w:cs="仿宋"/>
          <w:sz w:val="24"/>
          <w:szCs w:val="24"/>
        </w:rPr>
        <w:t>日 期：      年   月   日</w:t>
      </w:r>
    </w:p>
    <w:p w14:paraId="395DEC5D">
      <w:pPr>
        <w:widowControl/>
        <w:autoSpaceDE w:val="0"/>
        <w:autoSpaceDN w:val="0"/>
        <w:adjustRightInd w:val="0"/>
        <w:spacing w:line="480" w:lineRule="auto"/>
        <w:ind w:right="-481"/>
        <w:rPr>
          <w:rFonts w:ascii="仿宋" w:hAnsi="仿宋" w:eastAsia="仿宋" w:cs="仿宋"/>
          <w:color w:val="000000"/>
          <w:szCs w:val="21"/>
        </w:rPr>
      </w:pPr>
      <w:bookmarkStart w:id="10" w:name="_GoBack"/>
      <w:bookmarkEnd w:id="10"/>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33</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AF5332"/>
    <w:rsid w:val="01DC6C89"/>
    <w:rsid w:val="0334789D"/>
    <w:rsid w:val="05B52C99"/>
    <w:rsid w:val="060A5E1C"/>
    <w:rsid w:val="06C25775"/>
    <w:rsid w:val="06F55595"/>
    <w:rsid w:val="06F627A4"/>
    <w:rsid w:val="079914CF"/>
    <w:rsid w:val="08470D5B"/>
    <w:rsid w:val="093A12E4"/>
    <w:rsid w:val="0B903ADE"/>
    <w:rsid w:val="0C667EA6"/>
    <w:rsid w:val="0D765B99"/>
    <w:rsid w:val="0F062495"/>
    <w:rsid w:val="0F447F1C"/>
    <w:rsid w:val="10F776B0"/>
    <w:rsid w:val="122136E2"/>
    <w:rsid w:val="124048B1"/>
    <w:rsid w:val="12F40DF6"/>
    <w:rsid w:val="13053004"/>
    <w:rsid w:val="147F2942"/>
    <w:rsid w:val="14A63ABE"/>
    <w:rsid w:val="14CD7B51"/>
    <w:rsid w:val="156D4658"/>
    <w:rsid w:val="15CC04BD"/>
    <w:rsid w:val="19067AD5"/>
    <w:rsid w:val="19B018D7"/>
    <w:rsid w:val="19F1668A"/>
    <w:rsid w:val="19FD594D"/>
    <w:rsid w:val="1B9958F1"/>
    <w:rsid w:val="1DCD6AB3"/>
    <w:rsid w:val="21A734D8"/>
    <w:rsid w:val="225C2514"/>
    <w:rsid w:val="22753E21"/>
    <w:rsid w:val="23405992"/>
    <w:rsid w:val="23E0478E"/>
    <w:rsid w:val="24C43A2C"/>
    <w:rsid w:val="25883A2D"/>
    <w:rsid w:val="25BA194F"/>
    <w:rsid w:val="26C52111"/>
    <w:rsid w:val="27E76110"/>
    <w:rsid w:val="282C7114"/>
    <w:rsid w:val="29134428"/>
    <w:rsid w:val="298D2216"/>
    <w:rsid w:val="2AB9711D"/>
    <w:rsid w:val="2B2937A5"/>
    <w:rsid w:val="2B60487E"/>
    <w:rsid w:val="2B743D8D"/>
    <w:rsid w:val="2C941296"/>
    <w:rsid w:val="2DEF26D6"/>
    <w:rsid w:val="30C45E54"/>
    <w:rsid w:val="30C46FA8"/>
    <w:rsid w:val="32586854"/>
    <w:rsid w:val="367810B3"/>
    <w:rsid w:val="37E94405"/>
    <w:rsid w:val="3B1632FF"/>
    <w:rsid w:val="3B280B51"/>
    <w:rsid w:val="3B466628"/>
    <w:rsid w:val="3CF17658"/>
    <w:rsid w:val="3F4516BE"/>
    <w:rsid w:val="3FDC63BD"/>
    <w:rsid w:val="408F1FDB"/>
    <w:rsid w:val="455459C3"/>
    <w:rsid w:val="455F6E02"/>
    <w:rsid w:val="45D7020D"/>
    <w:rsid w:val="464507E7"/>
    <w:rsid w:val="485360C8"/>
    <w:rsid w:val="49320D4E"/>
    <w:rsid w:val="49C464B2"/>
    <w:rsid w:val="4B3C78A4"/>
    <w:rsid w:val="4C063CE7"/>
    <w:rsid w:val="4D032506"/>
    <w:rsid w:val="4D735816"/>
    <w:rsid w:val="4D904369"/>
    <w:rsid w:val="4E112440"/>
    <w:rsid w:val="4E2D31EF"/>
    <w:rsid w:val="4F2C11EB"/>
    <w:rsid w:val="506863A4"/>
    <w:rsid w:val="510C5E54"/>
    <w:rsid w:val="518B68B4"/>
    <w:rsid w:val="52216A9B"/>
    <w:rsid w:val="52427E13"/>
    <w:rsid w:val="52DB271E"/>
    <w:rsid w:val="531609B9"/>
    <w:rsid w:val="533B2535"/>
    <w:rsid w:val="53795887"/>
    <w:rsid w:val="537E3CF6"/>
    <w:rsid w:val="541360A4"/>
    <w:rsid w:val="549D3CDB"/>
    <w:rsid w:val="56116B96"/>
    <w:rsid w:val="57264039"/>
    <w:rsid w:val="592D6E08"/>
    <w:rsid w:val="59943EF2"/>
    <w:rsid w:val="59E1039E"/>
    <w:rsid w:val="59EB7D9E"/>
    <w:rsid w:val="59FA3570"/>
    <w:rsid w:val="5AB3403C"/>
    <w:rsid w:val="5ADE61AD"/>
    <w:rsid w:val="5B9A25B0"/>
    <w:rsid w:val="5C82428E"/>
    <w:rsid w:val="5F251B4F"/>
    <w:rsid w:val="5F455E33"/>
    <w:rsid w:val="5FAC475D"/>
    <w:rsid w:val="61E075AC"/>
    <w:rsid w:val="63314CFF"/>
    <w:rsid w:val="646F1658"/>
    <w:rsid w:val="6744122C"/>
    <w:rsid w:val="67674876"/>
    <w:rsid w:val="68D10094"/>
    <w:rsid w:val="69025CC1"/>
    <w:rsid w:val="69BB0E9B"/>
    <w:rsid w:val="6A2829D5"/>
    <w:rsid w:val="6AED3083"/>
    <w:rsid w:val="6B766832"/>
    <w:rsid w:val="6C2F5391"/>
    <w:rsid w:val="6CA16A6E"/>
    <w:rsid w:val="6F71487E"/>
    <w:rsid w:val="702A0B29"/>
    <w:rsid w:val="70D0194C"/>
    <w:rsid w:val="712E2167"/>
    <w:rsid w:val="719C7804"/>
    <w:rsid w:val="72FF629D"/>
    <w:rsid w:val="73DD76C0"/>
    <w:rsid w:val="7417077D"/>
    <w:rsid w:val="74452A91"/>
    <w:rsid w:val="74A803CF"/>
    <w:rsid w:val="75080D74"/>
    <w:rsid w:val="75583381"/>
    <w:rsid w:val="76D40B24"/>
    <w:rsid w:val="77BE6055"/>
    <w:rsid w:val="7CE359F9"/>
    <w:rsid w:val="7D9F519D"/>
    <w:rsid w:val="7DAD46A6"/>
    <w:rsid w:val="7EA65173"/>
    <w:rsid w:val="7EF02F3D"/>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5532</Words>
  <Characters>6053</Characters>
  <Lines>124</Lines>
  <Paragraphs>34</Paragraphs>
  <TotalTime>1</TotalTime>
  <ScaleCrop>false</ScaleCrop>
  <LinksUpToDate>false</LinksUpToDate>
  <CharactersWithSpaces>6314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2026-01-20T02:49:00Z</cp:lastPrinted>
  <dcterms:modified xsi:type="dcterms:W3CDTF">2026-01-20T02:50:26Z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